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B265A" w14:textId="49E38C7B" w:rsidR="00DA603C" w:rsidRPr="00EF0794" w:rsidRDefault="00DA603C" w:rsidP="00DA603C">
      <w:pPr>
        <w:spacing w:line="360" w:lineRule="auto"/>
        <w:rPr>
          <w:rFonts w:eastAsia="仿宋_GB2312"/>
          <w:color w:val="000000"/>
          <w:sz w:val="24"/>
          <w:u w:val="single"/>
        </w:rPr>
      </w:pPr>
      <w:bookmarkStart w:id="0" w:name="_Hlk85639639"/>
      <w:bookmarkStart w:id="1" w:name="_Hlk515288768"/>
      <w:r w:rsidRPr="00EF0794">
        <w:rPr>
          <w:rFonts w:eastAsia="仿宋_GB2312"/>
          <w:color w:val="000000"/>
          <w:sz w:val="24"/>
          <w:u w:val="single"/>
        </w:rPr>
        <w:t>证券代码：</w:t>
      </w:r>
      <w:r w:rsidRPr="00EF0794">
        <w:rPr>
          <w:rFonts w:eastAsia="仿宋_GB2312"/>
          <w:color w:val="000000"/>
          <w:sz w:val="24"/>
          <w:u w:val="single"/>
        </w:rPr>
        <w:t xml:space="preserve">300750          </w:t>
      </w:r>
      <w:r w:rsidRPr="00EF0794">
        <w:rPr>
          <w:rFonts w:eastAsia="仿宋_GB2312"/>
          <w:color w:val="000000"/>
          <w:sz w:val="24"/>
          <w:u w:val="single"/>
        </w:rPr>
        <w:t>证券简称：宁德时代</w:t>
      </w:r>
      <w:r w:rsidRPr="00EF0794">
        <w:rPr>
          <w:rFonts w:eastAsia="仿宋_GB2312"/>
          <w:color w:val="000000"/>
          <w:sz w:val="24"/>
          <w:u w:val="single"/>
        </w:rPr>
        <w:t xml:space="preserve">        </w:t>
      </w:r>
      <w:r w:rsidRPr="00EF0794">
        <w:rPr>
          <w:rFonts w:eastAsia="仿宋_GB2312"/>
          <w:color w:val="000000"/>
          <w:sz w:val="24"/>
          <w:u w:val="single"/>
        </w:rPr>
        <w:t>公告编号：</w:t>
      </w:r>
      <w:r w:rsidRPr="00EF0794">
        <w:rPr>
          <w:rFonts w:eastAsia="仿宋_GB2312"/>
          <w:color w:val="000000"/>
          <w:sz w:val="24"/>
          <w:u w:val="single"/>
        </w:rPr>
        <w:t>2022-119</w:t>
      </w:r>
    </w:p>
    <w:p w14:paraId="6DEC408A" w14:textId="77777777" w:rsidR="002028A9" w:rsidRPr="00EF0794" w:rsidRDefault="002028A9" w:rsidP="002028A9">
      <w:pPr>
        <w:spacing w:before="340" w:line="300" w:lineRule="exact"/>
        <w:jc w:val="center"/>
        <w:rPr>
          <w:rFonts w:eastAsia="黑体"/>
          <w:b/>
          <w:color w:val="000000"/>
          <w:sz w:val="36"/>
          <w:szCs w:val="36"/>
        </w:rPr>
      </w:pPr>
      <w:r w:rsidRPr="00EF0794">
        <w:rPr>
          <w:rFonts w:eastAsia="黑体"/>
          <w:b/>
          <w:color w:val="000000"/>
          <w:sz w:val="36"/>
          <w:szCs w:val="36"/>
        </w:rPr>
        <w:t>宁德时代新能源科技股份有限公司</w:t>
      </w:r>
      <w:bookmarkEnd w:id="0"/>
    </w:p>
    <w:p w14:paraId="7B8E95CC" w14:textId="341C792E" w:rsidR="00FF3AB2" w:rsidRPr="00EF0794" w:rsidRDefault="005B511B" w:rsidP="00FF3AB2">
      <w:pPr>
        <w:spacing w:beforeLines="50" w:before="156" w:line="360" w:lineRule="auto"/>
        <w:jc w:val="center"/>
        <w:rPr>
          <w:rFonts w:eastAsia="黑体"/>
          <w:b/>
          <w:color w:val="000000"/>
          <w:sz w:val="36"/>
          <w:szCs w:val="36"/>
        </w:rPr>
      </w:pPr>
      <w:r w:rsidRPr="00EF0794">
        <w:rPr>
          <w:rFonts w:eastAsia="黑体"/>
          <w:b/>
          <w:color w:val="000000"/>
          <w:sz w:val="36"/>
          <w:szCs w:val="36"/>
        </w:rPr>
        <w:t>关于</w:t>
      </w:r>
      <w:r w:rsidR="002028A9" w:rsidRPr="00EF0794">
        <w:rPr>
          <w:rFonts w:eastAsia="黑体"/>
          <w:b/>
          <w:color w:val="000000"/>
          <w:sz w:val="36"/>
          <w:szCs w:val="36"/>
        </w:rPr>
        <w:t>202</w:t>
      </w:r>
      <w:r w:rsidR="00273395" w:rsidRPr="00EF0794">
        <w:rPr>
          <w:rFonts w:eastAsia="黑体"/>
          <w:b/>
          <w:color w:val="000000"/>
          <w:sz w:val="36"/>
          <w:szCs w:val="36"/>
        </w:rPr>
        <w:t>1</w:t>
      </w:r>
      <w:r w:rsidR="002028A9" w:rsidRPr="00EF0794">
        <w:rPr>
          <w:rFonts w:eastAsia="黑体"/>
          <w:b/>
          <w:color w:val="000000"/>
          <w:sz w:val="36"/>
          <w:szCs w:val="36"/>
        </w:rPr>
        <w:t>年</w:t>
      </w:r>
      <w:r w:rsidR="00273395" w:rsidRPr="00EF0794">
        <w:rPr>
          <w:rFonts w:eastAsia="黑体"/>
          <w:b/>
          <w:color w:val="000000"/>
          <w:sz w:val="36"/>
          <w:szCs w:val="36"/>
        </w:rPr>
        <w:t>股票期权与</w:t>
      </w:r>
      <w:r w:rsidR="002028A9" w:rsidRPr="00EF0794">
        <w:rPr>
          <w:rFonts w:eastAsia="黑体"/>
          <w:b/>
          <w:color w:val="000000"/>
          <w:sz w:val="36"/>
          <w:szCs w:val="36"/>
        </w:rPr>
        <w:t>限制性股票激励计划</w:t>
      </w:r>
      <w:bookmarkStart w:id="2" w:name="_Hlk116902333"/>
      <w:r w:rsidR="006F26A7" w:rsidRPr="00EF0794">
        <w:rPr>
          <w:rFonts w:eastAsia="黑体"/>
          <w:b/>
          <w:color w:val="000000"/>
          <w:sz w:val="36"/>
          <w:szCs w:val="36"/>
        </w:rPr>
        <w:t>之</w:t>
      </w:r>
      <w:r w:rsidR="00273395" w:rsidRPr="00EF0794">
        <w:rPr>
          <w:rFonts w:eastAsia="黑体"/>
          <w:b/>
          <w:color w:val="000000"/>
          <w:sz w:val="36"/>
          <w:szCs w:val="36"/>
        </w:rPr>
        <w:t>股票</w:t>
      </w:r>
      <w:r w:rsidR="00641EF0" w:rsidRPr="00EF0794">
        <w:rPr>
          <w:rFonts w:eastAsia="黑体"/>
          <w:b/>
          <w:color w:val="000000"/>
          <w:sz w:val="36"/>
          <w:szCs w:val="36"/>
        </w:rPr>
        <w:t>期权</w:t>
      </w:r>
      <w:r w:rsidR="00273395" w:rsidRPr="00EF0794">
        <w:rPr>
          <w:rFonts w:eastAsia="黑体"/>
          <w:b/>
          <w:color w:val="000000"/>
          <w:sz w:val="36"/>
          <w:szCs w:val="36"/>
        </w:rPr>
        <w:t>首次及预留授予</w:t>
      </w:r>
      <w:r w:rsidR="002028A9" w:rsidRPr="00EF0794">
        <w:rPr>
          <w:rFonts w:eastAsia="黑体"/>
          <w:b/>
          <w:color w:val="000000"/>
          <w:sz w:val="36"/>
          <w:szCs w:val="36"/>
        </w:rPr>
        <w:t>第</w:t>
      </w:r>
      <w:r w:rsidR="00273395" w:rsidRPr="00EF0794">
        <w:rPr>
          <w:rFonts w:eastAsia="黑体"/>
          <w:b/>
          <w:color w:val="000000"/>
          <w:sz w:val="36"/>
          <w:szCs w:val="36"/>
        </w:rPr>
        <w:t>一</w:t>
      </w:r>
      <w:r w:rsidR="002028A9" w:rsidRPr="00EF0794">
        <w:rPr>
          <w:rFonts w:eastAsia="黑体"/>
          <w:b/>
          <w:color w:val="000000"/>
          <w:sz w:val="36"/>
          <w:szCs w:val="36"/>
        </w:rPr>
        <w:t>个</w:t>
      </w:r>
      <w:r w:rsidR="00641EF0" w:rsidRPr="00EF0794">
        <w:rPr>
          <w:rFonts w:eastAsia="黑体"/>
          <w:b/>
          <w:color w:val="000000"/>
          <w:sz w:val="36"/>
          <w:szCs w:val="36"/>
        </w:rPr>
        <w:t>行权</w:t>
      </w:r>
      <w:r w:rsidR="002028A9" w:rsidRPr="00EF0794">
        <w:rPr>
          <w:rFonts w:eastAsia="黑体"/>
          <w:b/>
          <w:color w:val="000000"/>
          <w:sz w:val="36"/>
          <w:szCs w:val="36"/>
        </w:rPr>
        <w:t>期</w:t>
      </w:r>
      <w:r w:rsidR="00641EF0" w:rsidRPr="00EF0794">
        <w:rPr>
          <w:rFonts w:eastAsia="黑体"/>
          <w:b/>
          <w:color w:val="000000"/>
          <w:sz w:val="36"/>
          <w:szCs w:val="36"/>
        </w:rPr>
        <w:t>行权</w:t>
      </w:r>
      <w:r w:rsidR="002028A9" w:rsidRPr="00EF0794">
        <w:rPr>
          <w:rFonts w:eastAsia="黑体"/>
          <w:b/>
          <w:color w:val="000000"/>
          <w:sz w:val="36"/>
          <w:szCs w:val="36"/>
        </w:rPr>
        <w:t>条件成就</w:t>
      </w:r>
      <w:bookmarkEnd w:id="2"/>
      <w:r w:rsidR="002028A9" w:rsidRPr="00EF0794">
        <w:rPr>
          <w:rFonts w:eastAsia="黑体"/>
          <w:b/>
          <w:color w:val="000000"/>
          <w:sz w:val="36"/>
          <w:szCs w:val="36"/>
        </w:rPr>
        <w:t>的</w:t>
      </w:r>
    </w:p>
    <w:p w14:paraId="1B74E905" w14:textId="459B8D75" w:rsidR="002028A9" w:rsidRPr="00EF0794" w:rsidRDefault="002028A9" w:rsidP="00FF3AB2">
      <w:pPr>
        <w:spacing w:afterLines="50" w:after="156" w:line="360" w:lineRule="auto"/>
        <w:jc w:val="center"/>
        <w:rPr>
          <w:rFonts w:eastAsia="黑体"/>
          <w:b/>
          <w:color w:val="000000"/>
          <w:sz w:val="36"/>
          <w:szCs w:val="36"/>
        </w:rPr>
      </w:pPr>
      <w:r w:rsidRPr="00EF0794">
        <w:rPr>
          <w:rFonts w:eastAsia="黑体"/>
          <w:b/>
          <w:color w:val="000000"/>
          <w:sz w:val="36"/>
          <w:szCs w:val="36"/>
        </w:rPr>
        <w:t>公告</w:t>
      </w:r>
    </w:p>
    <w:bookmarkEnd w:id="1"/>
    <w:p w14:paraId="6F1C1418" w14:textId="77777777" w:rsidR="002028A9" w:rsidRPr="00EF0794" w:rsidRDefault="002028A9" w:rsidP="002028A9">
      <w:pPr>
        <w:pBdr>
          <w:top w:val="single" w:sz="4" w:space="1" w:color="auto"/>
          <w:left w:val="single" w:sz="4" w:space="4" w:color="auto"/>
          <w:bottom w:val="single" w:sz="4" w:space="1" w:color="auto"/>
          <w:right w:val="single" w:sz="4" w:space="4" w:color="auto"/>
        </w:pBdr>
        <w:wordWrap w:val="0"/>
        <w:topLinePunct/>
        <w:spacing w:line="360" w:lineRule="auto"/>
        <w:ind w:firstLineChars="200" w:firstLine="482"/>
        <w:rPr>
          <w:b/>
          <w:color w:val="000000"/>
          <w:sz w:val="24"/>
        </w:rPr>
      </w:pPr>
      <w:r w:rsidRPr="00EF0794">
        <w:rPr>
          <w:b/>
          <w:color w:val="000000"/>
          <w:sz w:val="24"/>
        </w:rPr>
        <w:t>本公司及董事会全体成员保证信息披露的内容真实、准确、完整，没有虚假记载、误导性陈述或重大遗漏。</w:t>
      </w:r>
    </w:p>
    <w:p w14:paraId="17D79EB1" w14:textId="098F0F7F" w:rsidR="00AE7B85" w:rsidRPr="00EF0794" w:rsidRDefault="00FF3AB2" w:rsidP="00AE7B85">
      <w:pPr>
        <w:spacing w:beforeLines="50" w:before="156" w:afterLines="50" w:after="156" w:line="360" w:lineRule="auto"/>
        <w:ind w:firstLineChars="200" w:firstLine="482"/>
        <w:rPr>
          <w:b/>
          <w:bCs/>
          <w:sz w:val="24"/>
        </w:rPr>
      </w:pPr>
      <w:r w:rsidRPr="00EF0794">
        <w:rPr>
          <w:b/>
          <w:bCs/>
          <w:sz w:val="24"/>
        </w:rPr>
        <w:t>重要内容提示：</w:t>
      </w:r>
    </w:p>
    <w:p w14:paraId="7C384761" w14:textId="35E16D0C" w:rsidR="00AB1371" w:rsidRPr="00EF0794" w:rsidRDefault="0095147D" w:rsidP="00857BFB">
      <w:pPr>
        <w:autoSpaceDE w:val="0"/>
        <w:autoSpaceDN w:val="0"/>
        <w:spacing w:beforeLines="50" w:before="156" w:line="360" w:lineRule="auto"/>
        <w:ind w:firstLineChars="200" w:firstLine="482"/>
        <w:rPr>
          <w:b/>
          <w:kern w:val="0"/>
          <w:sz w:val="24"/>
        </w:rPr>
      </w:pPr>
      <w:r w:rsidRPr="00EF0794">
        <w:rPr>
          <w:b/>
          <w:kern w:val="0"/>
          <w:sz w:val="24"/>
        </w:rPr>
        <w:t>1</w:t>
      </w:r>
      <w:r w:rsidRPr="00EF0794">
        <w:rPr>
          <w:b/>
          <w:kern w:val="0"/>
          <w:sz w:val="24"/>
        </w:rPr>
        <w:t>、本期股票期权可行权的数量</w:t>
      </w:r>
      <w:r w:rsidR="00CE3701" w:rsidRPr="00EF0794">
        <w:rPr>
          <w:b/>
          <w:kern w:val="0"/>
          <w:sz w:val="24"/>
        </w:rPr>
        <w:t>：</w:t>
      </w:r>
      <w:r w:rsidR="00CE3701" w:rsidRPr="00EF0794">
        <w:rPr>
          <w:b/>
          <w:kern w:val="0"/>
          <w:sz w:val="24"/>
        </w:rPr>
        <w:t>468,110</w:t>
      </w:r>
      <w:r w:rsidR="00CE3701" w:rsidRPr="00EF0794">
        <w:rPr>
          <w:b/>
          <w:kern w:val="0"/>
          <w:sz w:val="24"/>
        </w:rPr>
        <w:t>份，其中首次授予</w:t>
      </w:r>
      <w:r w:rsidR="00750CF9" w:rsidRPr="00EF0794">
        <w:rPr>
          <w:b/>
          <w:kern w:val="0"/>
          <w:sz w:val="24"/>
        </w:rPr>
        <w:t>367,100</w:t>
      </w:r>
      <w:r w:rsidR="0076233B" w:rsidRPr="00EF0794">
        <w:rPr>
          <w:b/>
          <w:kern w:val="0"/>
          <w:sz w:val="24"/>
        </w:rPr>
        <w:t>份；预留授予</w:t>
      </w:r>
      <w:r w:rsidR="00750CF9" w:rsidRPr="00EF0794">
        <w:rPr>
          <w:b/>
          <w:kern w:val="0"/>
          <w:sz w:val="24"/>
        </w:rPr>
        <w:t>101,010</w:t>
      </w:r>
      <w:r w:rsidR="0076233B" w:rsidRPr="00EF0794">
        <w:rPr>
          <w:b/>
          <w:kern w:val="0"/>
          <w:sz w:val="24"/>
        </w:rPr>
        <w:t>份</w:t>
      </w:r>
      <w:r w:rsidR="00AB1371" w:rsidRPr="00EF0794">
        <w:rPr>
          <w:b/>
          <w:kern w:val="0"/>
          <w:sz w:val="24"/>
        </w:rPr>
        <w:t>。</w:t>
      </w:r>
    </w:p>
    <w:p w14:paraId="09254687" w14:textId="7FA84D06" w:rsidR="0095147D" w:rsidRPr="00EF0794" w:rsidRDefault="00AB1371" w:rsidP="00857BFB">
      <w:pPr>
        <w:autoSpaceDE w:val="0"/>
        <w:autoSpaceDN w:val="0"/>
        <w:spacing w:beforeLines="50" w:before="156" w:line="360" w:lineRule="auto"/>
        <w:ind w:firstLineChars="200" w:firstLine="482"/>
        <w:rPr>
          <w:b/>
          <w:kern w:val="0"/>
          <w:sz w:val="24"/>
        </w:rPr>
      </w:pPr>
      <w:r w:rsidRPr="00EF0794">
        <w:rPr>
          <w:b/>
          <w:kern w:val="0"/>
          <w:sz w:val="24"/>
        </w:rPr>
        <w:t>2</w:t>
      </w:r>
      <w:r w:rsidRPr="00EF0794">
        <w:rPr>
          <w:b/>
          <w:kern w:val="0"/>
          <w:sz w:val="24"/>
        </w:rPr>
        <w:t>、首次及预留</w:t>
      </w:r>
      <w:proofErr w:type="gramStart"/>
      <w:r w:rsidRPr="00EF0794">
        <w:rPr>
          <w:b/>
          <w:kern w:val="0"/>
          <w:sz w:val="24"/>
        </w:rPr>
        <w:t>授予部分</w:t>
      </w:r>
      <w:r w:rsidR="0095147D" w:rsidRPr="00EF0794">
        <w:rPr>
          <w:b/>
          <w:kern w:val="0"/>
          <w:sz w:val="24"/>
        </w:rPr>
        <w:t>行权</w:t>
      </w:r>
      <w:proofErr w:type="gramEnd"/>
      <w:r w:rsidR="0095147D" w:rsidRPr="00EF0794">
        <w:rPr>
          <w:b/>
          <w:kern w:val="0"/>
          <w:sz w:val="24"/>
        </w:rPr>
        <w:t>价格</w:t>
      </w:r>
      <w:r w:rsidRPr="00EF0794">
        <w:rPr>
          <w:b/>
          <w:kern w:val="0"/>
          <w:sz w:val="24"/>
        </w:rPr>
        <w:t>：</w:t>
      </w:r>
      <w:r w:rsidRPr="00EF0794">
        <w:rPr>
          <w:b/>
          <w:kern w:val="0"/>
          <w:sz w:val="24"/>
        </w:rPr>
        <w:t>611.43</w:t>
      </w:r>
      <w:r w:rsidR="0095147D" w:rsidRPr="00EF0794">
        <w:rPr>
          <w:b/>
          <w:kern w:val="0"/>
          <w:sz w:val="24"/>
        </w:rPr>
        <w:t>元</w:t>
      </w:r>
      <w:r w:rsidR="0095147D" w:rsidRPr="00EF0794">
        <w:rPr>
          <w:b/>
          <w:kern w:val="0"/>
          <w:sz w:val="24"/>
        </w:rPr>
        <w:t>/</w:t>
      </w:r>
      <w:r w:rsidR="0095147D" w:rsidRPr="00EF0794">
        <w:rPr>
          <w:b/>
          <w:kern w:val="0"/>
          <w:sz w:val="24"/>
        </w:rPr>
        <w:t>份。</w:t>
      </w:r>
    </w:p>
    <w:p w14:paraId="4731E26B" w14:textId="13420C7D" w:rsidR="0095147D" w:rsidRPr="00EF0794" w:rsidRDefault="00AB1371" w:rsidP="00857BFB">
      <w:pPr>
        <w:autoSpaceDE w:val="0"/>
        <w:autoSpaceDN w:val="0"/>
        <w:spacing w:beforeLines="50" w:before="156" w:line="360" w:lineRule="auto"/>
        <w:ind w:firstLineChars="200" w:firstLine="482"/>
        <w:rPr>
          <w:b/>
          <w:kern w:val="0"/>
          <w:sz w:val="24"/>
        </w:rPr>
      </w:pPr>
      <w:r w:rsidRPr="00EF0794">
        <w:rPr>
          <w:b/>
          <w:kern w:val="0"/>
          <w:sz w:val="24"/>
        </w:rPr>
        <w:t>3</w:t>
      </w:r>
      <w:r w:rsidR="0095147D" w:rsidRPr="00EF0794">
        <w:rPr>
          <w:b/>
          <w:kern w:val="0"/>
          <w:sz w:val="24"/>
        </w:rPr>
        <w:t>、股票来源：公司向激励对象定向发行本公司</w:t>
      </w:r>
      <w:r w:rsidR="0095147D" w:rsidRPr="00EF0794">
        <w:rPr>
          <w:b/>
          <w:kern w:val="0"/>
          <w:sz w:val="24"/>
        </w:rPr>
        <w:t>A</w:t>
      </w:r>
      <w:r w:rsidR="0095147D" w:rsidRPr="00EF0794">
        <w:rPr>
          <w:b/>
          <w:kern w:val="0"/>
          <w:sz w:val="24"/>
        </w:rPr>
        <w:t>股普通股股票。</w:t>
      </w:r>
    </w:p>
    <w:p w14:paraId="162892E1" w14:textId="4010C1EC" w:rsidR="0095147D" w:rsidRPr="00EF0794" w:rsidRDefault="00AB1371" w:rsidP="00857BFB">
      <w:pPr>
        <w:autoSpaceDE w:val="0"/>
        <w:autoSpaceDN w:val="0"/>
        <w:spacing w:beforeLines="50" w:before="156" w:line="360" w:lineRule="auto"/>
        <w:ind w:firstLineChars="200" w:firstLine="482"/>
        <w:rPr>
          <w:b/>
          <w:kern w:val="0"/>
          <w:sz w:val="24"/>
        </w:rPr>
      </w:pPr>
      <w:r w:rsidRPr="00EF0794">
        <w:rPr>
          <w:b/>
          <w:kern w:val="0"/>
          <w:sz w:val="24"/>
        </w:rPr>
        <w:t>4</w:t>
      </w:r>
      <w:r w:rsidR="0095147D" w:rsidRPr="00EF0794">
        <w:rPr>
          <w:b/>
          <w:kern w:val="0"/>
          <w:sz w:val="24"/>
        </w:rPr>
        <w:t>、本次行权选取自主行权的方式，公司在深圳证券交易所、中国证券登记结算有限责任公司深圳分公司办理完成相关手续后方可实际行权，届时公司将发布提示性公告，敬请投资者注意。</w:t>
      </w:r>
    </w:p>
    <w:p w14:paraId="5DEC5F49" w14:textId="77777777" w:rsidR="007632D5" w:rsidRPr="00EF0794" w:rsidRDefault="007632D5" w:rsidP="00857BFB">
      <w:pPr>
        <w:autoSpaceDE w:val="0"/>
        <w:autoSpaceDN w:val="0"/>
        <w:spacing w:beforeLines="50" w:before="156" w:line="360" w:lineRule="auto"/>
        <w:ind w:firstLineChars="200" w:firstLine="482"/>
        <w:rPr>
          <w:b/>
          <w:kern w:val="0"/>
          <w:sz w:val="24"/>
        </w:rPr>
      </w:pPr>
    </w:p>
    <w:p w14:paraId="3636740D" w14:textId="5821D459" w:rsidR="00AE7B85" w:rsidRPr="00EF0794" w:rsidRDefault="0056071F" w:rsidP="00857BFB">
      <w:pPr>
        <w:autoSpaceDE w:val="0"/>
        <w:autoSpaceDN w:val="0"/>
        <w:spacing w:beforeLines="50" w:before="156" w:line="360" w:lineRule="auto"/>
        <w:ind w:firstLineChars="200" w:firstLine="480"/>
        <w:rPr>
          <w:kern w:val="0"/>
          <w:sz w:val="24"/>
        </w:rPr>
      </w:pPr>
      <w:r w:rsidRPr="00EF0794">
        <w:rPr>
          <w:kern w:val="0"/>
          <w:sz w:val="24"/>
        </w:rPr>
        <w:t>宁德时代新能源科技股份有限公司</w:t>
      </w:r>
      <w:r w:rsidR="00AE7B85" w:rsidRPr="00EF0794">
        <w:rPr>
          <w:kern w:val="0"/>
          <w:sz w:val="24"/>
        </w:rPr>
        <w:t>（以下简称</w:t>
      </w:r>
      <w:r w:rsidR="00AE7B85" w:rsidRPr="00EF0794">
        <w:rPr>
          <w:kern w:val="0"/>
          <w:sz w:val="24"/>
        </w:rPr>
        <w:t>“</w:t>
      </w:r>
      <w:r w:rsidR="00AE7B85" w:rsidRPr="00EF0794">
        <w:rPr>
          <w:kern w:val="0"/>
          <w:sz w:val="24"/>
        </w:rPr>
        <w:t>公司</w:t>
      </w:r>
      <w:r w:rsidR="00AE7B85" w:rsidRPr="00EF0794">
        <w:rPr>
          <w:kern w:val="0"/>
          <w:sz w:val="24"/>
        </w:rPr>
        <w:t>”</w:t>
      </w:r>
      <w:r w:rsidR="00AE7B85" w:rsidRPr="00EF0794">
        <w:rPr>
          <w:kern w:val="0"/>
          <w:sz w:val="24"/>
        </w:rPr>
        <w:t>）于</w:t>
      </w:r>
      <w:r w:rsidR="00AE7B85" w:rsidRPr="00EF0794">
        <w:rPr>
          <w:kern w:val="0"/>
          <w:sz w:val="24"/>
        </w:rPr>
        <w:t>2022</w:t>
      </w:r>
      <w:r w:rsidR="00AE7B85" w:rsidRPr="00EF0794">
        <w:rPr>
          <w:kern w:val="0"/>
          <w:sz w:val="24"/>
        </w:rPr>
        <w:t>年</w:t>
      </w:r>
      <w:r w:rsidR="00091597" w:rsidRPr="00EF0794">
        <w:rPr>
          <w:kern w:val="0"/>
          <w:sz w:val="24"/>
        </w:rPr>
        <w:t>10</w:t>
      </w:r>
      <w:r w:rsidR="00091597" w:rsidRPr="00EF0794">
        <w:rPr>
          <w:kern w:val="0"/>
          <w:sz w:val="24"/>
        </w:rPr>
        <w:t>月</w:t>
      </w:r>
      <w:r w:rsidR="00091597" w:rsidRPr="00EF0794">
        <w:rPr>
          <w:kern w:val="0"/>
          <w:sz w:val="24"/>
        </w:rPr>
        <w:t>21</w:t>
      </w:r>
      <w:r w:rsidR="00091597" w:rsidRPr="00EF0794">
        <w:rPr>
          <w:kern w:val="0"/>
          <w:sz w:val="24"/>
        </w:rPr>
        <w:t>日</w:t>
      </w:r>
      <w:bookmarkStart w:id="3" w:name="_Hlk116586471"/>
      <w:r w:rsidR="007632D5" w:rsidRPr="00EF0794">
        <w:rPr>
          <w:kern w:val="0"/>
          <w:sz w:val="24"/>
        </w:rPr>
        <w:t>分别召开</w:t>
      </w:r>
      <w:r w:rsidR="00091597" w:rsidRPr="00EF0794">
        <w:rPr>
          <w:kern w:val="0"/>
          <w:sz w:val="24"/>
        </w:rPr>
        <w:t>第三届董事会第十四次会议、第三届监事会第十次会议</w:t>
      </w:r>
      <w:bookmarkEnd w:id="3"/>
      <w:r w:rsidR="0020662C" w:rsidRPr="00EF0794">
        <w:rPr>
          <w:kern w:val="0"/>
          <w:sz w:val="24"/>
        </w:rPr>
        <w:t>，审议通过</w:t>
      </w:r>
      <w:r w:rsidR="00AE7B85" w:rsidRPr="00EF0794">
        <w:rPr>
          <w:kern w:val="0"/>
          <w:sz w:val="24"/>
        </w:rPr>
        <w:t>《</w:t>
      </w:r>
      <w:r w:rsidR="00AB1371" w:rsidRPr="00EF0794">
        <w:rPr>
          <w:kern w:val="0"/>
          <w:sz w:val="24"/>
        </w:rPr>
        <w:t>关于</w:t>
      </w:r>
      <w:r w:rsidR="00AB1371" w:rsidRPr="00EF0794">
        <w:rPr>
          <w:kern w:val="0"/>
          <w:sz w:val="24"/>
        </w:rPr>
        <w:t>2021</w:t>
      </w:r>
      <w:r w:rsidR="00AB1371" w:rsidRPr="00EF0794">
        <w:rPr>
          <w:kern w:val="0"/>
          <w:sz w:val="24"/>
        </w:rPr>
        <w:t>年股票期权与限制性股票激励计划之股票期权首次及预留授予第一个行权期行权条件成就的议案</w:t>
      </w:r>
      <w:r w:rsidR="00AE7B85" w:rsidRPr="00EF0794">
        <w:rPr>
          <w:kern w:val="0"/>
          <w:sz w:val="24"/>
        </w:rPr>
        <w:t>》，</w:t>
      </w:r>
      <w:r w:rsidR="007632D5" w:rsidRPr="00EF0794">
        <w:rPr>
          <w:kern w:val="0"/>
          <w:sz w:val="24"/>
        </w:rPr>
        <w:t>现将有关事项说明如下：</w:t>
      </w:r>
    </w:p>
    <w:p w14:paraId="6A3DCFC3" w14:textId="77777777" w:rsidR="0076233B" w:rsidRPr="00EF0794" w:rsidRDefault="0076233B" w:rsidP="0076233B">
      <w:pPr>
        <w:autoSpaceDE w:val="0"/>
        <w:autoSpaceDN w:val="0"/>
        <w:spacing w:beforeLines="50" w:before="156" w:line="360" w:lineRule="auto"/>
        <w:ind w:firstLineChars="200" w:firstLine="482"/>
        <w:rPr>
          <w:b/>
          <w:kern w:val="0"/>
          <w:sz w:val="24"/>
        </w:rPr>
      </w:pPr>
      <w:r w:rsidRPr="00EF0794">
        <w:rPr>
          <w:b/>
          <w:kern w:val="0"/>
          <w:sz w:val="24"/>
        </w:rPr>
        <w:t>一、</w:t>
      </w:r>
      <w:r w:rsidRPr="00EF0794">
        <w:rPr>
          <w:b/>
          <w:kern w:val="0"/>
          <w:sz w:val="24"/>
        </w:rPr>
        <w:t>2021</w:t>
      </w:r>
      <w:r w:rsidRPr="00EF0794">
        <w:rPr>
          <w:b/>
          <w:kern w:val="0"/>
          <w:sz w:val="24"/>
        </w:rPr>
        <w:t>年股票期权与限制性股票激励计划简述及已履行的相关审批程序</w:t>
      </w:r>
    </w:p>
    <w:p w14:paraId="7B00A7A1" w14:textId="77777777" w:rsidR="007632D5" w:rsidRPr="00EF0794" w:rsidRDefault="007632D5" w:rsidP="007632D5">
      <w:pPr>
        <w:autoSpaceDE w:val="0"/>
        <w:autoSpaceDN w:val="0"/>
        <w:spacing w:beforeLines="50" w:before="156" w:line="360" w:lineRule="auto"/>
        <w:ind w:firstLineChars="200" w:firstLine="482"/>
        <w:rPr>
          <w:b/>
          <w:bCs/>
          <w:kern w:val="0"/>
          <w:sz w:val="24"/>
        </w:rPr>
      </w:pPr>
      <w:r w:rsidRPr="00EF0794">
        <w:rPr>
          <w:b/>
          <w:bCs/>
          <w:kern w:val="0"/>
          <w:sz w:val="24"/>
        </w:rPr>
        <w:t>（一）</w:t>
      </w:r>
      <w:r w:rsidRPr="00EF0794">
        <w:rPr>
          <w:b/>
          <w:bCs/>
          <w:kern w:val="0"/>
          <w:sz w:val="24"/>
        </w:rPr>
        <w:t>2021</w:t>
      </w:r>
      <w:r w:rsidRPr="00EF0794">
        <w:rPr>
          <w:b/>
          <w:bCs/>
          <w:kern w:val="0"/>
          <w:sz w:val="24"/>
        </w:rPr>
        <w:t>年股票期权与限制性股票激励计划（以下简称</w:t>
      </w:r>
      <w:r w:rsidRPr="00EF0794">
        <w:rPr>
          <w:b/>
          <w:bCs/>
          <w:kern w:val="0"/>
          <w:sz w:val="24"/>
        </w:rPr>
        <w:t>“2021</w:t>
      </w:r>
      <w:r w:rsidRPr="00EF0794">
        <w:rPr>
          <w:b/>
          <w:bCs/>
          <w:kern w:val="0"/>
          <w:sz w:val="24"/>
        </w:rPr>
        <w:t>年激励计划</w:t>
      </w:r>
      <w:r w:rsidRPr="00EF0794">
        <w:rPr>
          <w:b/>
          <w:bCs/>
          <w:kern w:val="0"/>
          <w:sz w:val="24"/>
        </w:rPr>
        <w:t>”</w:t>
      </w:r>
      <w:r w:rsidRPr="00EF0794">
        <w:rPr>
          <w:b/>
          <w:bCs/>
          <w:kern w:val="0"/>
          <w:sz w:val="24"/>
        </w:rPr>
        <w:t>）简述</w:t>
      </w:r>
    </w:p>
    <w:p w14:paraId="3B0D757B" w14:textId="2E169BDB" w:rsidR="0076233B" w:rsidRPr="00EF0794" w:rsidRDefault="0076233B" w:rsidP="0076233B">
      <w:pPr>
        <w:autoSpaceDE w:val="0"/>
        <w:autoSpaceDN w:val="0"/>
        <w:spacing w:beforeLines="50" w:before="156" w:line="360" w:lineRule="auto"/>
        <w:ind w:firstLineChars="200" w:firstLine="480"/>
        <w:rPr>
          <w:kern w:val="0"/>
          <w:sz w:val="24"/>
        </w:rPr>
      </w:pPr>
      <w:r w:rsidRPr="00EF0794">
        <w:rPr>
          <w:kern w:val="0"/>
          <w:sz w:val="24"/>
        </w:rPr>
        <w:t>2021</w:t>
      </w:r>
      <w:r w:rsidRPr="00EF0794">
        <w:rPr>
          <w:kern w:val="0"/>
          <w:sz w:val="24"/>
        </w:rPr>
        <w:t>年</w:t>
      </w:r>
      <w:r w:rsidRPr="00EF0794">
        <w:rPr>
          <w:kern w:val="0"/>
          <w:sz w:val="24"/>
        </w:rPr>
        <w:t>11</w:t>
      </w:r>
      <w:r w:rsidRPr="00EF0794">
        <w:rPr>
          <w:kern w:val="0"/>
          <w:sz w:val="24"/>
        </w:rPr>
        <w:t>月</w:t>
      </w:r>
      <w:r w:rsidRPr="00EF0794">
        <w:rPr>
          <w:kern w:val="0"/>
          <w:sz w:val="24"/>
        </w:rPr>
        <w:t>12</w:t>
      </w:r>
      <w:r w:rsidRPr="00EF0794">
        <w:rPr>
          <w:kern w:val="0"/>
          <w:sz w:val="24"/>
        </w:rPr>
        <w:t>日，公司召开的</w:t>
      </w:r>
      <w:r w:rsidRPr="00EF0794">
        <w:rPr>
          <w:kern w:val="0"/>
          <w:sz w:val="24"/>
        </w:rPr>
        <w:t>2021</w:t>
      </w:r>
      <w:r w:rsidRPr="00EF0794">
        <w:rPr>
          <w:kern w:val="0"/>
          <w:sz w:val="24"/>
        </w:rPr>
        <w:t>年第二次临时股东大会审议通过《关于公</w:t>
      </w:r>
      <w:r w:rsidRPr="00EF0794">
        <w:rPr>
          <w:kern w:val="0"/>
          <w:sz w:val="24"/>
        </w:rPr>
        <w:lastRenderedPageBreak/>
        <w:t>司</w:t>
      </w:r>
      <w:r w:rsidRPr="00EF0794">
        <w:rPr>
          <w:kern w:val="0"/>
          <w:sz w:val="24"/>
        </w:rPr>
        <w:t>&lt;2021</w:t>
      </w:r>
      <w:r w:rsidRPr="00EF0794">
        <w:rPr>
          <w:kern w:val="0"/>
          <w:sz w:val="24"/>
        </w:rPr>
        <w:t>年股票期权与限制性股票激励计划（草案）</w:t>
      </w:r>
      <w:r w:rsidRPr="00EF0794">
        <w:rPr>
          <w:kern w:val="0"/>
          <w:sz w:val="24"/>
        </w:rPr>
        <w:t>&gt;</w:t>
      </w:r>
      <w:r w:rsidRPr="00EF0794">
        <w:rPr>
          <w:kern w:val="0"/>
          <w:sz w:val="24"/>
        </w:rPr>
        <w:t>及其摘要的议案》等相关议案。公司</w:t>
      </w:r>
      <w:r w:rsidRPr="00EF0794">
        <w:rPr>
          <w:kern w:val="0"/>
          <w:sz w:val="24"/>
        </w:rPr>
        <w:t>2021</w:t>
      </w:r>
      <w:r w:rsidRPr="00EF0794">
        <w:rPr>
          <w:kern w:val="0"/>
          <w:sz w:val="24"/>
        </w:rPr>
        <w:t>年激励计划中股票期权的主要情况如下：</w:t>
      </w:r>
      <w:r w:rsidRPr="00EF0794">
        <w:rPr>
          <w:kern w:val="0"/>
          <w:sz w:val="24"/>
        </w:rPr>
        <w:t xml:space="preserve"> </w:t>
      </w:r>
    </w:p>
    <w:p w14:paraId="0E60B60B" w14:textId="77777777" w:rsidR="0076233B" w:rsidRPr="00EF0794" w:rsidRDefault="0076233B" w:rsidP="0076233B">
      <w:pPr>
        <w:autoSpaceDE w:val="0"/>
        <w:autoSpaceDN w:val="0"/>
        <w:spacing w:beforeLines="50" w:before="156" w:line="360" w:lineRule="auto"/>
        <w:ind w:firstLineChars="200" w:firstLine="480"/>
        <w:rPr>
          <w:kern w:val="0"/>
          <w:sz w:val="24"/>
        </w:rPr>
      </w:pPr>
      <w:r w:rsidRPr="00EF0794">
        <w:rPr>
          <w:kern w:val="0"/>
          <w:sz w:val="24"/>
        </w:rPr>
        <w:t>1</w:t>
      </w:r>
      <w:r w:rsidRPr="00EF0794">
        <w:rPr>
          <w:kern w:val="0"/>
          <w:sz w:val="24"/>
        </w:rPr>
        <w:t>、股权激励方式：股票期权。</w:t>
      </w:r>
    </w:p>
    <w:p w14:paraId="2F348CFA" w14:textId="77777777" w:rsidR="0076233B" w:rsidRPr="00EF0794" w:rsidRDefault="0076233B" w:rsidP="0076233B">
      <w:pPr>
        <w:autoSpaceDE w:val="0"/>
        <w:autoSpaceDN w:val="0"/>
        <w:spacing w:beforeLines="50" w:before="156" w:line="360" w:lineRule="auto"/>
        <w:ind w:firstLineChars="200" w:firstLine="480"/>
        <w:rPr>
          <w:kern w:val="0"/>
          <w:sz w:val="24"/>
        </w:rPr>
      </w:pPr>
      <w:r w:rsidRPr="00EF0794">
        <w:rPr>
          <w:kern w:val="0"/>
          <w:sz w:val="24"/>
        </w:rPr>
        <w:t>2</w:t>
      </w:r>
      <w:r w:rsidRPr="00EF0794">
        <w:rPr>
          <w:kern w:val="0"/>
          <w:sz w:val="24"/>
        </w:rPr>
        <w:t>、标的股票来源：公司向激励对象定向发行的本公司人民币</w:t>
      </w:r>
      <w:r w:rsidRPr="00EF0794">
        <w:rPr>
          <w:kern w:val="0"/>
          <w:sz w:val="24"/>
        </w:rPr>
        <w:t>A</w:t>
      </w:r>
      <w:r w:rsidRPr="00EF0794">
        <w:rPr>
          <w:kern w:val="0"/>
          <w:sz w:val="24"/>
        </w:rPr>
        <w:t>股普通股股票。</w:t>
      </w:r>
    </w:p>
    <w:p w14:paraId="0E112984" w14:textId="4842C07C" w:rsidR="0076233B" w:rsidRPr="00EF0794" w:rsidRDefault="000A6B9C" w:rsidP="003261C2">
      <w:pPr>
        <w:autoSpaceDE w:val="0"/>
        <w:autoSpaceDN w:val="0"/>
        <w:spacing w:beforeLines="50" w:before="156" w:line="360" w:lineRule="auto"/>
        <w:ind w:firstLineChars="200" w:firstLine="480"/>
        <w:jc w:val="left"/>
        <w:rPr>
          <w:kern w:val="0"/>
          <w:sz w:val="24"/>
        </w:rPr>
      </w:pPr>
      <w:r w:rsidRPr="00EF0794">
        <w:rPr>
          <w:kern w:val="0"/>
          <w:sz w:val="24"/>
        </w:rPr>
        <w:t>3</w:t>
      </w:r>
      <w:r w:rsidRPr="00EF0794">
        <w:rPr>
          <w:kern w:val="0"/>
          <w:sz w:val="24"/>
        </w:rPr>
        <w:t>、</w:t>
      </w:r>
      <w:r w:rsidR="0076233B" w:rsidRPr="00EF0794">
        <w:rPr>
          <w:kern w:val="0"/>
          <w:sz w:val="24"/>
        </w:rPr>
        <w:t>首次及</w:t>
      </w:r>
      <w:proofErr w:type="gramStart"/>
      <w:r w:rsidR="0076233B" w:rsidRPr="00EF0794">
        <w:rPr>
          <w:kern w:val="0"/>
          <w:sz w:val="24"/>
        </w:rPr>
        <w:t>预留部分行权</w:t>
      </w:r>
      <w:proofErr w:type="gramEnd"/>
      <w:r w:rsidR="0076233B" w:rsidRPr="00EF0794">
        <w:rPr>
          <w:kern w:val="0"/>
          <w:sz w:val="24"/>
        </w:rPr>
        <w:t>价格（调整前）：</w:t>
      </w:r>
      <w:r w:rsidR="0076233B" w:rsidRPr="00EF0794">
        <w:rPr>
          <w:kern w:val="0"/>
          <w:sz w:val="24"/>
        </w:rPr>
        <w:t>612.08</w:t>
      </w:r>
      <w:r w:rsidR="0076233B" w:rsidRPr="00EF0794">
        <w:rPr>
          <w:kern w:val="0"/>
          <w:sz w:val="24"/>
        </w:rPr>
        <w:t>元</w:t>
      </w:r>
      <w:r w:rsidR="0076233B" w:rsidRPr="00EF0794">
        <w:rPr>
          <w:kern w:val="0"/>
          <w:sz w:val="24"/>
        </w:rPr>
        <w:t>/</w:t>
      </w:r>
      <w:r w:rsidR="00132D57" w:rsidRPr="00EF0794">
        <w:rPr>
          <w:kern w:val="0"/>
          <w:sz w:val="24"/>
        </w:rPr>
        <w:t>份</w:t>
      </w:r>
      <w:r w:rsidR="0076233B" w:rsidRPr="00EF0794">
        <w:rPr>
          <w:kern w:val="0"/>
          <w:sz w:val="24"/>
        </w:rPr>
        <w:t>。</w:t>
      </w:r>
    </w:p>
    <w:p w14:paraId="16D30329" w14:textId="5270D93F" w:rsidR="0076233B" w:rsidRPr="00EF0794" w:rsidRDefault="0076233B" w:rsidP="0076233B">
      <w:pPr>
        <w:autoSpaceDE w:val="0"/>
        <w:autoSpaceDN w:val="0"/>
        <w:spacing w:beforeLines="50" w:before="156" w:line="360" w:lineRule="auto"/>
        <w:ind w:firstLineChars="200" w:firstLine="480"/>
        <w:rPr>
          <w:kern w:val="0"/>
          <w:sz w:val="24"/>
        </w:rPr>
      </w:pPr>
      <w:r w:rsidRPr="00EF0794">
        <w:rPr>
          <w:kern w:val="0"/>
          <w:sz w:val="24"/>
        </w:rPr>
        <w:t>5</w:t>
      </w:r>
      <w:r w:rsidRPr="00EF0794">
        <w:rPr>
          <w:kern w:val="0"/>
          <w:sz w:val="24"/>
        </w:rPr>
        <w:t>、</w:t>
      </w:r>
      <w:r w:rsidR="003261C2" w:rsidRPr="00EF0794">
        <w:rPr>
          <w:kern w:val="0"/>
          <w:sz w:val="24"/>
        </w:rPr>
        <w:t>拟</w:t>
      </w:r>
      <w:r w:rsidRPr="00EF0794">
        <w:rPr>
          <w:kern w:val="0"/>
          <w:sz w:val="24"/>
        </w:rPr>
        <w:t>授予数量：</w:t>
      </w:r>
      <w:r w:rsidR="003261C2" w:rsidRPr="00EF0794">
        <w:rPr>
          <w:kern w:val="0"/>
          <w:sz w:val="24"/>
        </w:rPr>
        <w:t>公司拟向激励对象授予</w:t>
      </w:r>
      <w:r w:rsidR="003261C2" w:rsidRPr="00EF0794">
        <w:rPr>
          <w:kern w:val="0"/>
          <w:sz w:val="24"/>
        </w:rPr>
        <w:t>294.0300</w:t>
      </w:r>
      <w:r w:rsidR="003261C2" w:rsidRPr="00EF0794">
        <w:rPr>
          <w:kern w:val="0"/>
          <w:sz w:val="24"/>
        </w:rPr>
        <w:t>万份股票期权，其中首次授予</w:t>
      </w:r>
      <w:r w:rsidR="003261C2" w:rsidRPr="00EF0794">
        <w:rPr>
          <w:kern w:val="0"/>
          <w:sz w:val="24"/>
        </w:rPr>
        <w:t>204.128</w:t>
      </w:r>
      <w:r w:rsidR="003261C2" w:rsidRPr="00EF0794">
        <w:rPr>
          <w:kern w:val="0"/>
          <w:sz w:val="24"/>
        </w:rPr>
        <w:t>万份，预留</w:t>
      </w:r>
      <w:r w:rsidR="003261C2" w:rsidRPr="00EF0794">
        <w:rPr>
          <w:kern w:val="0"/>
          <w:sz w:val="24"/>
        </w:rPr>
        <w:t>89.9020</w:t>
      </w:r>
      <w:r w:rsidR="003261C2" w:rsidRPr="00EF0794">
        <w:rPr>
          <w:kern w:val="0"/>
          <w:sz w:val="24"/>
        </w:rPr>
        <w:t>万份。在满足行权条件的情况下，每份股票期权拥有在行权有效期内以行权价格购买</w:t>
      </w:r>
      <w:r w:rsidR="003261C2" w:rsidRPr="00EF0794">
        <w:rPr>
          <w:kern w:val="0"/>
          <w:sz w:val="24"/>
        </w:rPr>
        <w:t>1</w:t>
      </w:r>
      <w:r w:rsidR="003261C2" w:rsidRPr="00EF0794">
        <w:rPr>
          <w:kern w:val="0"/>
          <w:sz w:val="24"/>
        </w:rPr>
        <w:t>股公司股票的权利。</w:t>
      </w:r>
    </w:p>
    <w:p w14:paraId="308E6E2D" w14:textId="65335699" w:rsidR="0076233B" w:rsidRPr="00EF0794" w:rsidRDefault="0076233B" w:rsidP="003261C2">
      <w:pPr>
        <w:autoSpaceDE w:val="0"/>
        <w:autoSpaceDN w:val="0"/>
        <w:spacing w:beforeLines="50" w:before="156" w:line="360" w:lineRule="auto"/>
        <w:ind w:firstLineChars="200" w:firstLine="480"/>
        <w:rPr>
          <w:kern w:val="0"/>
          <w:sz w:val="24"/>
        </w:rPr>
      </w:pPr>
      <w:r w:rsidRPr="00EF0794">
        <w:rPr>
          <w:kern w:val="0"/>
          <w:sz w:val="24"/>
        </w:rPr>
        <w:t>6</w:t>
      </w:r>
      <w:r w:rsidRPr="00EF0794">
        <w:rPr>
          <w:kern w:val="0"/>
          <w:sz w:val="24"/>
        </w:rPr>
        <w:t>、激励对象的范围及分配情况：</w:t>
      </w:r>
      <w:r w:rsidR="00F751CB" w:rsidRPr="00EF0794">
        <w:rPr>
          <w:kern w:val="0"/>
          <w:sz w:val="24"/>
        </w:rPr>
        <w:t>包括公司任职的中层管理人员及核心骨干员工（含外籍员工）。具体分配情况如下：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1702"/>
        <w:gridCol w:w="1170"/>
        <w:gridCol w:w="1375"/>
        <w:gridCol w:w="1276"/>
        <w:gridCol w:w="1352"/>
      </w:tblGrid>
      <w:tr w:rsidR="003261C2" w:rsidRPr="00EF0794" w14:paraId="4FD6CBA5" w14:textId="77777777" w:rsidTr="007807F2">
        <w:trPr>
          <w:cantSplit/>
          <w:trHeight w:val="397"/>
        </w:trPr>
        <w:tc>
          <w:tcPr>
            <w:tcW w:w="856" w:type="pct"/>
            <w:shd w:val="clear" w:color="auto" w:fill="D9D9D9"/>
            <w:vAlign w:val="center"/>
          </w:tcPr>
          <w:p w14:paraId="641D2A6F" w14:textId="77777777" w:rsidR="003261C2" w:rsidRPr="00EF0794" w:rsidRDefault="003261C2" w:rsidP="007E3638">
            <w:pPr>
              <w:jc w:val="center"/>
              <w:rPr>
                <w:b/>
                <w:color w:val="000000" w:themeColor="text1"/>
                <w:szCs w:val="21"/>
              </w:rPr>
            </w:pPr>
            <w:r w:rsidRPr="00EF0794">
              <w:rPr>
                <w:b/>
                <w:color w:val="000000" w:themeColor="text1"/>
                <w:szCs w:val="21"/>
              </w:rPr>
              <w:t>姓名</w:t>
            </w:r>
          </w:p>
        </w:tc>
        <w:tc>
          <w:tcPr>
            <w:tcW w:w="1026" w:type="pct"/>
            <w:shd w:val="clear" w:color="auto" w:fill="D9D9D9"/>
            <w:vAlign w:val="center"/>
          </w:tcPr>
          <w:p w14:paraId="4DF1C68E" w14:textId="77777777" w:rsidR="003261C2" w:rsidRPr="00EF0794" w:rsidRDefault="003261C2" w:rsidP="007E3638">
            <w:pPr>
              <w:jc w:val="center"/>
              <w:rPr>
                <w:b/>
                <w:color w:val="000000" w:themeColor="text1"/>
                <w:szCs w:val="21"/>
              </w:rPr>
            </w:pPr>
            <w:r w:rsidRPr="00EF0794">
              <w:rPr>
                <w:b/>
                <w:color w:val="000000" w:themeColor="text1"/>
                <w:szCs w:val="21"/>
              </w:rPr>
              <w:t>职务</w:t>
            </w:r>
          </w:p>
        </w:tc>
        <w:tc>
          <w:tcPr>
            <w:tcW w:w="705" w:type="pct"/>
            <w:shd w:val="clear" w:color="auto" w:fill="D9D9D9"/>
            <w:vAlign w:val="center"/>
          </w:tcPr>
          <w:p w14:paraId="4F5B1472" w14:textId="77777777" w:rsidR="003261C2" w:rsidRPr="00EF0794" w:rsidRDefault="003261C2" w:rsidP="007E3638">
            <w:pPr>
              <w:jc w:val="center"/>
              <w:rPr>
                <w:b/>
                <w:color w:val="000000" w:themeColor="text1"/>
                <w:szCs w:val="21"/>
              </w:rPr>
            </w:pPr>
            <w:r w:rsidRPr="00EF0794">
              <w:rPr>
                <w:b/>
                <w:color w:val="000000" w:themeColor="text1"/>
                <w:szCs w:val="21"/>
              </w:rPr>
              <w:t>国籍</w:t>
            </w:r>
          </w:p>
        </w:tc>
        <w:tc>
          <w:tcPr>
            <w:tcW w:w="829" w:type="pct"/>
            <w:shd w:val="clear" w:color="auto" w:fill="D9D9D9"/>
            <w:vAlign w:val="center"/>
          </w:tcPr>
          <w:p w14:paraId="742C319A" w14:textId="77777777" w:rsidR="003261C2" w:rsidRPr="00EF0794" w:rsidRDefault="003261C2" w:rsidP="007E3638">
            <w:pPr>
              <w:jc w:val="center"/>
              <w:textAlignment w:val="center"/>
              <w:rPr>
                <w:b/>
                <w:bCs/>
                <w:color w:val="000000" w:themeColor="text1"/>
                <w:szCs w:val="21"/>
              </w:rPr>
            </w:pPr>
            <w:r w:rsidRPr="00EF0794">
              <w:rPr>
                <w:b/>
                <w:bCs/>
                <w:color w:val="000000" w:themeColor="text1"/>
                <w:szCs w:val="21"/>
              </w:rPr>
              <w:t>获</w:t>
            </w:r>
            <w:proofErr w:type="gramStart"/>
            <w:r w:rsidRPr="00EF0794">
              <w:rPr>
                <w:b/>
                <w:bCs/>
                <w:color w:val="000000" w:themeColor="text1"/>
                <w:szCs w:val="21"/>
              </w:rPr>
              <w:t>授股票</w:t>
            </w:r>
            <w:proofErr w:type="gramEnd"/>
            <w:r w:rsidRPr="00EF0794">
              <w:rPr>
                <w:b/>
                <w:bCs/>
                <w:color w:val="000000" w:themeColor="text1"/>
                <w:szCs w:val="21"/>
              </w:rPr>
              <w:t>期权的数量</w:t>
            </w:r>
          </w:p>
          <w:p w14:paraId="5E77D921" w14:textId="77777777" w:rsidR="003261C2" w:rsidRPr="00EF0794" w:rsidRDefault="003261C2" w:rsidP="007E3638">
            <w:pPr>
              <w:spacing w:line="276" w:lineRule="auto"/>
              <w:jc w:val="center"/>
              <w:rPr>
                <w:b/>
                <w:color w:val="000000" w:themeColor="text1"/>
                <w:szCs w:val="21"/>
              </w:rPr>
            </w:pPr>
            <w:r w:rsidRPr="00EF0794">
              <w:rPr>
                <w:b/>
                <w:bCs/>
                <w:color w:val="000000" w:themeColor="text1"/>
                <w:szCs w:val="21"/>
              </w:rPr>
              <w:t>(</w:t>
            </w:r>
            <w:r w:rsidRPr="00EF0794">
              <w:rPr>
                <w:b/>
                <w:bCs/>
                <w:color w:val="000000" w:themeColor="text1"/>
                <w:szCs w:val="21"/>
              </w:rPr>
              <w:t>万份</w:t>
            </w:r>
            <w:r w:rsidRPr="00EF0794">
              <w:rPr>
                <w:b/>
                <w:bCs/>
                <w:color w:val="000000" w:themeColor="text1"/>
                <w:szCs w:val="21"/>
              </w:rPr>
              <w:t>)</w:t>
            </w:r>
          </w:p>
        </w:tc>
        <w:tc>
          <w:tcPr>
            <w:tcW w:w="769" w:type="pct"/>
            <w:shd w:val="clear" w:color="auto" w:fill="D9D9D9"/>
            <w:vAlign w:val="center"/>
          </w:tcPr>
          <w:p w14:paraId="36D1AE51" w14:textId="77777777" w:rsidR="003261C2" w:rsidRPr="00EF0794" w:rsidRDefault="003261C2" w:rsidP="007E3638">
            <w:pPr>
              <w:spacing w:line="276" w:lineRule="auto"/>
              <w:jc w:val="center"/>
              <w:rPr>
                <w:b/>
                <w:color w:val="000000" w:themeColor="text1"/>
                <w:szCs w:val="21"/>
              </w:rPr>
            </w:pPr>
            <w:r w:rsidRPr="00EF0794">
              <w:rPr>
                <w:b/>
                <w:bCs/>
                <w:color w:val="000000" w:themeColor="text1"/>
                <w:szCs w:val="21"/>
              </w:rPr>
              <w:t>占本计划授予股票期权总数的比例</w:t>
            </w:r>
          </w:p>
        </w:tc>
        <w:tc>
          <w:tcPr>
            <w:tcW w:w="815" w:type="pct"/>
            <w:shd w:val="clear" w:color="auto" w:fill="D9D9D9"/>
            <w:vAlign w:val="center"/>
          </w:tcPr>
          <w:p w14:paraId="25191F69" w14:textId="77777777" w:rsidR="003261C2" w:rsidRPr="00EF0794" w:rsidRDefault="003261C2" w:rsidP="007E3638">
            <w:pPr>
              <w:spacing w:line="276" w:lineRule="auto"/>
              <w:jc w:val="center"/>
              <w:rPr>
                <w:b/>
                <w:color w:val="000000" w:themeColor="text1"/>
                <w:szCs w:val="21"/>
              </w:rPr>
            </w:pPr>
            <w:r w:rsidRPr="00EF0794">
              <w:rPr>
                <w:b/>
                <w:bCs/>
                <w:color w:val="000000" w:themeColor="text1"/>
                <w:szCs w:val="21"/>
              </w:rPr>
              <w:t>占本计划公告日股本总额的比例</w:t>
            </w:r>
          </w:p>
        </w:tc>
      </w:tr>
      <w:tr w:rsidR="003261C2" w:rsidRPr="00EF0794" w14:paraId="63405922" w14:textId="77777777" w:rsidTr="007807F2">
        <w:trPr>
          <w:cantSplit/>
          <w:trHeight w:val="397"/>
        </w:trPr>
        <w:tc>
          <w:tcPr>
            <w:tcW w:w="856" w:type="pct"/>
            <w:shd w:val="clear" w:color="auto" w:fill="auto"/>
            <w:vAlign w:val="center"/>
          </w:tcPr>
          <w:p w14:paraId="7E4F643C" w14:textId="77777777" w:rsidR="003261C2" w:rsidRPr="00EF0794" w:rsidRDefault="003261C2" w:rsidP="007E3638">
            <w:pPr>
              <w:jc w:val="center"/>
              <w:rPr>
                <w:color w:val="000000" w:themeColor="text1"/>
                <w:szCs w:val="21"/>
              </w:rPr>
            </w:pPr>
            <w:r w:rsidRPr="00EF0794">
              <w:rPr>
                <w:color w:val="000000" w:themeColor="text1"/>
                <w:szCs w:val="21"/>
              </w:rPr>
              <w:t>GE XIAOMING</w:t>
            </w:r>
          </w:p>
        </w:tc>
        <w:tc>
          <w:tcPr>
            <w:tcW w:w="1026" w:type="pct"/>
            <w:shd w:val="clear" w:color="auto" w:fill="auto"/>
            <w:vAlign w:val="center"/>
          </w:tcPr>
          <w:p w14:paraId="46C55632" w14:textId="77777777" w:rsidR="003261C2" w:rsidRPr="00EF0794" w:rsidRDefault="003261C2" w:rsidP="007E3638">
            <w:pPr>
              <w:jc w:val="center"/>
              <w:rPr>
                <w:color w:val="000000" w:themeColor="text1"/>
                <w:szCs w:val="21"/>
              </w:rPr>
            </w:pPr>
            <w:r w:rsidRPr="00EF0794">
              <w:rPr>
                <w:color w:val="000000" w:themeColor="text1"/>
                <w:szCs w:val="21"/>
              </w:rPr>
              <w:t>中层管理人员</w:t>
            </w:r>
          </w:p>
        </w:tc>
        <w:tc>
          <w:tcPr>
            <w:tcW w:w="705" w:type="pct"/>
            <w:shd w:val="clear" w:color="auto" w:fill="auto"/>
            <w:vAlign w:val="center"/>
          </w:tcPr>
          <w:p w14:paraId="1B889482" w14:textId="77777777" w:rsidR="003261C2" w:rsidRPr="00EF0794" w:rsidRDefault="003261C2" w:rsidP="007E3638">
            <w:pPr>
              <w:jc w:val="center"/>
              <w:rPr>
                <w:color w:val="000000" w:themeColor="text1"/>
                <w:szCs w:val="21"/>
              </w:rPr>
            </w:pPr>
            <w:r w:rsidRPr="00EF0794">
              <w:rPr>
                <w:color w:val="000000" w:themeColor="text1"/>
                <w:szCs w:val="21"/>
              </w:rPr>
              <w:t>新加坡</w:t>
            </w:r>
          </w:p>
        </w:tc>
        <w:tc>
          <w:tcPr>
            <w:tcW w:w="829" w:type="pct"/>
            <w:shd w:val="clear" w:color="auto" w:fill="auto"/>
            <w:vAlign w:val="center"/>
          </w:tcPr>
          <w:p w14:paraId="61B5F89F" w14:textId="77777777" w:rsidR="003261C2" w:rsidRPr="00EF0794" w:rsidRDefault="003261C2" w:rsidP="007E3638">
            <w:pPr>
              <w:spacing w:line="276" w:lineRule="auto"/>
              <w:jc w:val="right"/>
              <w:rPr>
                <w:color w:val="000000" w:themeColor="text1"/>
                <w:szCs w:val="21"/>
              </w:rPr>
            </w:pPr>
            <w:r w:rsidRPr="00EF0794">
              <w:rPr>
                <w:color w:val="000000" w:themeColor="text1"/>
                <w:szCs w:val="21"/>
              </w:rPr>
              <w:t>0.136</w:t>
            </w:r>
          </w:p>
        </w:tc>
        <w:tc>
          <w:tcPr>
            <w:tcW w:w="769" w:type="pct"/>
            <w:shd w:val="clear" w:color="auto" w:fill="auto"/>
            <w:vAlign w:val="center"/>
          </w:tcPr>
          <w:p w14:paraId="1D0FCAD9" w14:textId="77777777" w:rsidR="003261C2" w:rsidRPr="00EF0794" w:rsidRDefault="003261C2" w:rsidP="007E3638">
            <w:pPr>
              <w:spacing w:line="276" w:lineRule="auto"/>
              <w:jc w:val="right"/>
              <w:rPr>
                <w:color w:val="000000" w:themeColor="text1"/>
                <w:szCs w:val="21"/>
              </w:rPr>
            </w:pPr>
            <w:r w:rsidRPr="00EF0794">
              <w:rPr>
                <w:color w:val="000000" w:themeColor="text1"/>
                <w:szCs w:val="21"/>
              </w:rPr>
              <w:t>0.046%</w:t>
            </w:r>
          </w:p>
        </w:tc>
        <w:tc>
          <w:tcPr>
            <w:tcW w:w="815" w:type="pct"/>
            <w:shd w:val="clear" w:color="auto" w:fill="auto"/>
            <w:vAlign w:val="center"/>
          </w:tcPr>
          <w:p w14:paraId="01E5AD92" w14:textId="77777777" w:rsidR="003261C2" w:rsidRPr="00EF0794" w:rsidRDefault="003261C2" w:rsidP="007E3638">
            <w:pPr>
              <w:spacing w:line="276" w:lineRule="auto"/>
              <w:jc w:val="right"/>
              <w:rPr>
                <w:color w:val="000000" w:themeColor="text1"/>
                <w:szCs w:val="21"/>
              </w:rPr>
            </w:pPr>
            <w:r w:rsidRPr="00EF0794">
              <w:rPr>
                <w:color w:val="000000" w:themeColor="text1"/>
                <w:szCs w:val="21"/>
              </w:rPr>
              <w:t>0.00006%</w:t>
            </w:r>
          </w:p>
        </w:tc>
      </w:tr>
      <w:tr w:rsidR="003261C2" w:rsidRPr="00EF0794" w14:paraId="5B4BB6A1" w14:textId="77777777" w:rsidTr="007807F2">
        <w:trPr>
          <w:cantSplit/>
          <w:trHeight w:val="397"/>
        </w:trPr>
        <w:tc>
          <w:tcPr>
            <w:tcW w:w="856" w:type="pct"/>
            <w:shd w:val="clear" w:color="auto" w:fill="auto"/>
            <w:vAlign w:val="center"/>
          </w:tcPr>
          <w:p w14:paraId="36A855CE" w14:textId="77777777" w:rsidR="003261C2" w:rsidRPr="00EF0794" w:rsidRDefault="003261C2" w:rsidP="007E3638">
            <w:pPr>
              <w:jc w:val="center"/>
              <w:rPr>
                <w:color w:val="000000" w:themeColor="text1"/>
                <w:szCs w:val="21"/>
              </w:rPr>
            </w:pPr>
            <w:r w:rsidRPr="00EF0794">
              <w:rPr>
                <w:color w:val="000000" w:themeColor="text1"/>
                <w:szCs w:val="21"/>
              </w:rPr>
              <w:t>JIANG BO</w:t>
            </w:r>
          </w:p>
        </w:tc>
        <w:tc>
          <w:tcPr>
            <w:tcW w:w="1026" w:type="pct"/>
            <w:shd w:val="clear" w:color="auto" w:fill="auto"/>
            <w:vAlign w:val="center"/>
          </w:tcPr>
          <w:p w14:paraId="72F09241" w14:textId="77777777" w:rsidR="003261C2" w:rsidRPr="00EF0794" w:rsidRDefault="003261C2" w:rsidP="007E3638">
            <w:pPr>
              <w:jc w:val="center"/>
              <w:rPr>
                <w:color w:val="000000" w:themeColor="text1"/>
                <w:szCs w:val="21"/>
              </w:rPr>
            </w:pPr>
            <w:r w:rsidRPr="00EF0794">
              <w:rPr>
                <w:color w:val="000000" w:themeColor="text1"/>
                <w:szCs w:val="21"/>
              </w:rPr>
              <w:t>中层管理人员</w:t>
            </w:r>
          </w:p>
        </w:tc>
        <w:tc>
          <w:tcPr>
            <w:tcW w:w="705" w:type="pct"/>
            <w:shd w:val="clear" w:color="auto" w:fill="auto"/>
            <w:vAlign w:val="center"/>
          </w:tcPr>
          <w:p w14:paraId="1227C053" w14:textId="77777777" w:rsidR="003261C2" w:rsidRPr="00EF0794" w:rsidRDefault="003261C2" w:rsidP="007E3638">
            <w:pPr>
              <w:jc w:val="center"/>
              <w:rPr>
                <w:color w:val="000000" w:themeColor="text1"/>
                <w:szCs w:val="21"/>
              </w:rPr>
            </w:pPr>
            <w:r w:rsidRPr="00EF0794">
              <w:rPr>
                <w:color w:val="000000" w:themeColor="text1"/>
                <w:szCs w:val="21"/>
              </w:rPr>
              <w:t>法国</w:t>
            </w:r>
          </w:p>
        </w:tc>
        <w:tc>
          <w:tcPr>
            <w:tcW w:w="829" w:type="pct"/>
            <w:shd w:val="clear" w:color="auto" w:fill="auto"/>
            <w:vAlign w:val="center"/>
          </w:tcPr>
          <w:p w14:paraId="1A09FB9C" w14:textId="77777777" w:rsidR="003261C2" w:rsidRPr="00EF0794" w:rsidRDefault="003261C2" w:rsidP="007E3638">
            <w:pPr>
              <w:spacing w:line="276" w:lineRule="auto"/>
              <w:jc w:val="right"/>
              <w:rPr>
                <w:color w:val="000000" w:themeColor="text1"/>
                <w:szCs w:val="21"/>
              </w:rPr>
            </w:pPr>
            <w:r w:rsidRPr="00EF0794">
              <w:rPr>
                <w:color w:val="000000" w:themeColor="text1"/>
                <w:szCs w:val="21"/>
              </w:rPr>
              <w:t>1.244</w:t>
            </w:r>
          </w:p>
        </w:tc>
        <w:tc>
          <w:tcPr>
            <w:tcW w:w="769" w:type="pct"/>
            <w:shd w:val="clear" w:color="auto" w:fill="auto"/>
            <w:vAlign w:val="center"/>
          </w:tcPr>
          <w:p w14:paraId="0C063FC8" w14:textId="77777777" w:rsidR="003261C2" w:rsidRPr="00EF0794" w:rsidRDefault="003261C2" w:rsidP="007E3638">
            <w:pPr>
              <w:spacing w:line="276" w:lineRule="auto"/>
              <w:jc w:val="right"/>
              <w:rPr>
                <w:color w:val="000000" w:themeColor="text1"/>
                <w:szCs w:val="21"/>
              </w:rPr>
            </w:pPr>
            <w:r w:rsidRPr="00EF0794">
              <w:rPr>
                <w:color w:val="000000" w:themeColor="text1"/>
                <w:szCs w:val="21"/>
              </w:rPr>
              <w:t>0.423%</w:t>
            </w:r>
          </w:p>
        </w:tc>
        <w:tc>
          <w:tcPr>
            <w:tcW w:w="815" w:type="pct"/>
            <w:shd w:val="clear" w:color="auto" w:fill="auto"/>
            <w:vAlign w:val="center"/>
          </w:tcPr>
          <w:p w14:paraId="66C9804B" w14:textId="77777777" w:rsidR="003261C2" w:rsidRPr="00EF0794" w:rsidRDefault="003261C2" w:rsidP="007E3638">
            <w:pPr>
              <w:spacing w:line="276" w:lineRule="auto"/>
              <w:jc w:val="right"/>
              <w:rPr>
                <w:color w:val="000000" w:themeColor="text1"/>
                <w:szCs w:val="21"/>
              </w:rPr>
            </w:pPr>
            <w:r w:rsidRPr="00EF0794">
              <w:rPr>
                <w:color w:val="000000" w:themeColor="text1"/>
                <w:szCs w:val="21"/>
              </w:rPr>
              <w:t>0.00053%</w:t>
            </w:r>
          </w:p>
        </w:tc>
      </w:tr>
      <w:tr w:rsidR="003261C2" w:rsidRPr="00EF0794" w14:paraId="2114AAD4" w14:textId="77777777" w:rsidTr="007807F2">
        <w:trPr>
          <w:cantSplit/>
          <w:trHeight w:val="397"/>
        </w:trPr>
        <w:tc>
          <w:tcPr>
            <w:tcW w:w="856" w:type="pct"/>
            <w:shd w:val="clear" w:color="auto" w:fill="auto"/>
            <w:vAlign w:val="center"/>
          </w:tcPr>
          <w:p w14:paraId="02AA2239" w14:textId="77777777" w:rsidR="003261C2" w:rsidRPr="00EF0794" w:rsidRDefault="003261C2" w:rsidP="007E3638">
            <w:pPr>
              <w:jc w:val="center"/>
              <w:rPr>
                <w:color w:val="000000" w:themeColor="text1"/>
                <w:szCs w:val="21"/>
              </w:rPr>
            </w:pPr>
            <w:r w:rsidRPr="00EF0794">
              <w:rPr>
                <w:color w:val="000000" w:themeColor="text1"/>
                <w:szCs w:val="21"/>
              </w:rPr>
              <w:t>QIAN WUQUAN</w:t>
            </w:r>
          </w:p>
        </w:tc>
        <w:tc>
          <w:tcPr>
            <w:tcW w:w="1026" w:type="pct"/>
            <w:shd w:val="clear" w:color="auto" w:fill="auto"/>
            <w:vAlign w:val="center"/>
          </w:tcPr>
          <w:p w14:paraId="53EF8F1E" w14:textId="77777777" w:rsidR="003261C2" w:rsidRPr="00EF0794" w:rsidRDefault="003261C2" w:rsidP="007E3638">
            <w:pPr>
              <w:jc w:val="center"/>
              <w:rPr>
                <w:color w:val="000000" w:themeColor="text1"/>
                <w:szCs w:val="21"/>
              </w:rPr>
            </w:pPr>
            <w:r w:rsidRPr="00EF0794">
              <w:rPr>
                <w:color w:val="000000" w:themeColor="text1"/>
                <w:szCs w:val="21"/>
              </w:rPr>
              <w:t>中层管理人员</w:t>
            </w:r>
          </w:p>
        </w:tc>
        <w:tc>
          <w:tcPr>
            <w:tcW w:w="705" w:type="pct"/>
            <w:shd w:val="clear" w:color="auto" w:fill="auto"/>
            <w:vAlign w:val="center"/>
          </w:tcPr>
          <w:p w14:paraId="28524466" w14:textId="77777777" w:rsidR="003261C2" w:rsidRPr="00EF0794" w:rsidRDefault="003261C2" w:rsidP="007E3638">
            <w:pPr>
              <w:jc w:val="center"/>
              <w:rPr>
                <w:color w:val="000000" w:themeColor="text1"/>
                <w:szCs w:val="21"/>
              </w:rPr>
            </w:pPr>
            <w:r w:rsidRPr="00EF0794">
              <w:rPr>
                <w:color w:val="000000" w:themeColor="text1"/>
                <w:szCs w:val="21"/>
              </w:rPr>
              <w:t>新加坡</w:t>
            </w:r>
          </w:p>
        </w:tc>
        <w:tc>
          <w:tcPr>
            <w:tcW w:w="829" w:type="pct"/>
            <w:shd w:val="clear" w:color="auto" w:fill="auto"/>
            <w:vAlign w:val="center"/>
          </w:tcPr>
          <w:p w14:paraId="7716C702" w14:textId="77777777" w:rsidR="003261C2" w:rsidRPr="00EF0794" w:rsidRDefault="003261C2" w:rsidP="007E3638">
            <w:pPr>
              <w:spacing w:line="276" w:lineRule="auto"/>
              <w:jc w:val="right"/>
              <w:rPr>
                <w:color w:val="000000" w:themeColor="text1"/>
                <w:szCs w:val="21"/>
              </w:rPr>
            </w:pPr>
            <w:r w:rsidRPr="00EF0794">
              <w:rPr>
                <w:color w:val="000000" w:themeColor="text1"/>
                <w:szCs w:val="21"/>
              </w:rPr>
              <w:t>1.378</w:t>
            </w:r>
          </w:p>
        </w:tc>
        <w:tc>
          <w:tcPr>
            <w:tcW w:w="769" w:type="pct"/>
            <w:shd w:val="clear" w:color="auto" w:fill="auto"/>
            <w:vAlign w:val="center"/>
          </w:tcPr>
          <w:p w14:paraId="3FDD7C48" w14:textId="77777777" w:rsidR="003261C2" w:rsidRPr="00EF0794" w:rsidRDefault="003261C2" w:rsidP="007E3638">
            <w:pPr>
              <w:spacing w:line="276" w:lineRule="auto"/>
              <w:jc w:val="right"/>
              <w:rPr>
                <w:color w:val="000000" w:themeColor="text1"/>
                <w:szCs w:val="21"/>
              </w:rPr>
            </w:pPr>
            <w:r w:rsidRPr="00EF0794">
              <w:rPr>
                <w:color w:val="000000" w:themeColor="text1"/>
                <w:szCs w:val="21"/>
              </w:rPr>
              <w:t>0.469%</w:t>
            </w:r>
          </w:p>
        </w:tc>
        <w:tc>
          <w:tcPr>
            <w:tcW w:w="815" w:type="pct"/>
            <w:shd w:val="clear" w:color="auto" w:fill="auto"/>
            <w:vAlign w:val="center"/>
          </w:tcPr>
          <w:p w14:paraId="2EF5A701" w14:textId="77777777" w:rsidR="003261C2" w:rsidRPr="00EF0794" w:rsidRDefault="003261C2" w:rsidP="007E3638">
            <w:pPr>
              <w:spacing w:line="276" w:lineRule="auto"/>
              <w:jc w:val="right"/>
              <w:rPr>
                <w:color w:val="000000" w:themeColor="text1"/>
                <w:szCs w:val="21"/>
              </w:rPr>
            </w:pPr>
            <w:r w:rsidRPr="00EF0794">
              <w:rPr>
                <w:color w:val="000000" w:themeColor="text1"/>
                <w:szCs w:val="21"/>
              </w:rPr>
              <w:t>0.00059%</w:t>
            </w:r>
          </w:p>
        </w:tc>
      </w:tr>
      <w:tr w:rsidR="003261C2" w:rsidRPr="00EF0794" w14:paraId="6828E40E" w14:textId="77777777" w:rsidTr="007807F2">
        <w:trPr>
          <w:cantSplit/>
          <w:trHeight w:val="397"/>
        </w:trPr>
        <w:tc>
          <w:tcPr>
            <w:tcW w:w="856" w:type="pct"/>
            <w:shd w:val="clear" w:color="auto" w:fill="auto"/>
            <w:vAlign w:val="center"/>
          </w:tcPr>
          <w:p w14:paraId="30EA5C36" w14:textId="77777777" w:rsidR="003261C2" w:rsidRPr="00EF0794" w:rsidRDefault="003261C2" w:rsidP="007E3638">
            <w:pPr>
              <w:jc w:val="center"/>
              <w:rPr>
                <w:color w:val="000000" w:themeColor="text1"/>
                <w:szCs w:val="21"/>
              </w:rPr>
            </w:pPr>
            <w:r w:rsidRPr="00EF0794">
              <w:rPr>
                <w:color w:val="000000" w:themeColor="text1"/>
                <w:szCs w:val="21"/>
              </w:rPr>
              <w:t>YU TAO</w:t>
            </w:r>
          </w:p>
        </w:tc>
        <w:tc>
          <w:tcPr>
            <w:tcW w:w="1026" w:type="pct"/>
            <w:shd w:val="clear" w:color="auto" w:fill="auto"/>
            <w:vAlign w:val="center"/>
          </w:tcPr>
          <w:p w14:paraId="29E04B40" w14:textId="77777777" w:rsidR="003261C2" w:rsidRPr="00EF0794" w:rsidRDefault="003261C2" w:rsidP="007E3638">
            <w:pPr>
              <w:jc w:val="center"/>
              <w:rPr>
                <w:color w:val="000000" w:themeColor="text1"/>
                <w:szCs w:val="21"/>
              </w:rPr>
            </w:pPr>
            <w:r w:rsidRPr="00EF0794">
              <w:rPr>
                <w:color w:val="000000" w:themeColor="text1"/>
                <w:szCs w:val="21"/>
              </w:rPr>
              <w:t>中层管理人员</w:t>
            </w:r>
          </w:p>
        </w:tc>
        <w:tc>
          <w:tcPr>
            <w:tcW w:w="705" w:type="pct"/>
            <w:shd w:val="clear" w:color="auto" w:fill="auto"/>
            <w:vAlign w:val="center"/>
          </w:tcPr>
          <w:p w14:paraId="1CB3A29B" w14:textId="77777777" w:rsidR="003261C2" w:rsidRPr="00EF0794" w:rsidRDefault="003261C2" w:rsidP="007E3638">
            <w:pPr>
              <w:jc w:val="center"/>
              <w:rPr>
                <w:color w:val="000000" w:themeColor="text1"/>
                <w:szCs w:val="21"/>
              </w:rPr>
            </w:pPr>
            <w:r w:rsidRPr="00EF0794">
              <w:rPr>
                <w:color w:val="000000" w:themeColor="text1"/>
                <w:szCs w:val="21"/>
              </w:rPr>
              <w:t>澳大利亚</w:t>
            </w:r>
          </w:p>
        </w:tc>
        <w:tc>
          <w:tcPr>
            <w:tcW w:w="829" w:type="pct"/>
            <w:shd w:val="clear" w:color="auto" w:fill="auto"/>
            <w:vAlign w:val="center"/>
          </w:tcPr>
          <w:p w14:paraId="3271CB4F" w14:textId="77777777" w:rsidR="003261C2" w:rsidRPr="00EF0794" w:rsidRDefault="003261C2" w:rsidP="007E3638">
            <w:pPr>
              <w:spacing w:line="276" w:lineRule="auto"/>
              <w:jc w:val="right"/>
              <w:rPr>
                <w:color w:val="000000" w:themeColor="text1"/>
                <w:szCs w:val="21"/>
              </w:rPr>
            </w:pPr>
            <w:r w:rsidRPr="00EF0794">
              <w:rPr>
                <w:color w:val="000000" w:themeColor="text1"/>
                <w:szCs w:val="21"/>
              </w:rPr>
              <w:t>0.407</w:t>
            </w:r>
          </w:p>
        </w:tc>
        <w:tc>
          <w:tcPr>
            <w:tcW w:w="769" w:type="pct"/>
            <w:shd w:val="clear" w:color="auto" w:fill="auto"/>
            <w:vAlign w:val="center"/>
          </w:tcPr>
          <w:p w14:paraId="5291559D" w14:textId="77777777" w:rsidR="003261C2" w:rsidRPr="00EF0794" w:rsidRDefault="003261C2" w:rsidP="007E3638">
            <w:pPr>
              <w:spacing w:line="276" w:lineRule="auto"/>
              <w:jc w:val="right"/>
              <w:rPr>
                <w:color w:val="000000" w:themeColor="text1"/>
                <w:szCs w:val="21"/>
              </w:rPr>
            </w:pPr>
            <w:r w:rsidRPr="00EF0794">
              <w:rPr>
                <w:color w:val="000000" w:themeColor="text1"/>
                <w:szCs w:val="21"/>
              </w:rPr>
              <w:t>0.138%</w:t>
            </w:r>
          </w:p>
        </w:tc>
        <w:tc>
          <w:tcPr>
            <w:tcW w:w="815" w:type="pct"/>
            <w:shd w:val="clear" w:color="auto" w:fill="auto"/>
            <w:vAlign w:val="center"/>
          </w:tcPr>
          <w:p w14:paraId="2C8E3F8E" w14:textId="77777777" w:rsidR="003261C2" w:rsidRPr="00EF0794" w:rsidRDefault="003261C2" w:rsidP="007E3638">
            <w:pPr>
              <w:spacing w:line="276" w:lineRule="auto"/>
              <w:jc w:val="right"/>
              <w:rPr>
                <w:color w:val="000000" w:themeColor="text1"/>
                <w:szCs w:val="21"/>
              </w:rPr>
            </w:pPr>
            <w:r w:rsidRPr="00EF0794">
              <w:rPr>
                <w:color w:val="000000" w:themeColor="text1"/>
                <w:szCs w:val="21"/>
              </w:rPr>
              <w:t>0.00017%</w:t>
            </w:r>
          </w:p>
        </w:tc>
      </w:tr>
      <w:tr w:rsidR="003261C2" w:rsidRPr="00EF0794" w14:paraId="0EBD1E63" w14:textId="77777777" w:rsidTr="007807F2">
        <w:trPr>
          <w:cantSplit/>
          <w:trHeight w:val="397"/>
        </w:trPr>
        <w:tc>
          <w:tcPr>
            <w:tcW w:w="856" w:type="pct"/>
            <w:shd w:val="clear" w:color="auto" w:fill="auto"/>
            <w:vAlign w:val="center"/>
          </w:tcPr>
          <w:p w14:paraId="03C1D324" w14:textId="77777777" w:rsidR="003261C2" w:rsidRPr="00EF0794" w:rsidRDefault="003261C2" w:rsidP="007E3638">
            <w:pPr>
              <w:jc w:val="center"/>
              <w:rPr>
                <w:color w:val="000000" w:themeColor="text1"/>
                <w:szCs w:val="21"/>
              </w:rPr>
            </w:pPr>
            <w:r w:rsidRPr="00EF0794">
              <w:rPr>
                <w:color w:val="000000" w:themeColor="text1"/>
                <w:szCs w:val="21"/>
              </w:rPr>
              <w:t>杜松岩</w:t>
            </w:r>
          </w:p>
        </w:tc>
        <w:tc>
          <w:tcPr>
            <w:tcW w:w="1026" w:type="pct"/>
            <w:shd w:val="clear" w:color="auto" w:fill="auto"/>
            <w:vAlign w:val="center"/>
          </w:tcPr>
          <w:p w14:paraId="3DCDCEB1" w14:textId="77777777" w:rsidR="003261C2" w:rsidRPr="00EF0794" w:rsidRDefault="003261C2" w:rsidP="007E3638">
            <w:pPr>
              <w:jc w:val="center"/>
              <w:rPr>
                <w:color w:val="000000" w:themeColor="text1"/>
                <w:szCs w:val="21"/>
              </w:rPr>
            </w:pPr>
            <w:r w:rsidRPr="00EF0794">
              <w:rPr>
                <w:color w:val="000000" w:themeColor="text1"/>
                <w:szCs w:val="21"/>
              </w:rPr>
              <w:t>中层管理人员</w:t>
            </w:r>
          </w:p>
        </w:tc>
        <w:tc>
          <w:tcPr>
            <w:tcW w:w="705" w:type="pct"/>
            <w:shd w:val="clear" w:color="auto" w:fill="auto"/>
            <w:vAlign w:val="center"/>
          </w:tcPr>
          <w:p w14:paraId="1B7F2223" w14:textId="77777777" w:rsidR="003261C2" w:rsidRPr="00EF0794" w:rsidRDefault="003261C2" w:rsidP="007E3638">
            <w:pPr>
              <w:jc w:val="center"/>
              <w:rPr>
                <w:color w:val="000000" w:themeColor="text1"/>
                <w:szCs w:val="21"/>
              </w:rPr>
            </w:pPr>
            <w:r w:rsidRPr="00EF0794">
              <w:rPr>
                <w:color w:val="000000" w:themeColor="text1"/>
                <w:szCs w:val="21"/>
              </w:rPr>
              <w:t>德国</w:t>
            </w:r>
          </w:p>
        </w:tc>
        <w:tc>
          <w:tcPr>
            <w:tcW w:w="829" w:type="pct"/>
            <w:shd w:val="clear" w:color="auto" w:fill="auto"/>
            <w:vAlign w:val="center"/>
          </w:tcPr>
          <w:p w14:paraId="774D5747" w14:textId="77777777" w:rsidR="003261C2" w:rsidRPr="00EF0794" w:rsidRDefault="003261C2" w:rsidP="007E3638">
            <w:pPr>
              <w:spacing w:line="276" w:lineRule="auto"/>
              <w:jc w:val="right"/>
              <w:rPr>
                <w:color w:val="000000" w:themeColor="text1"/>
                <w:szCs w:val="21"/>
              </w:rPr>
            </w:pPr>
            <w:r w:rsidRPr="00EF0794">
              <w:rPr>
                <w:color w:val="000000" w:themeColor="text1"/>
                <w:szCs w:val="21"/>
              </w:rPr>
              <w:t>0.271</w:t>
            </w:r>
          </w:p>
        </w:tc>
        <w:tc>
          <w:tcPr>
            <w:tcW w:w="769" w:type="pct"/>
            <w:shd w:val="clear" w:color="auto" w:fill="auto"/>
            <w:vAlign w:val="center"/>
          </w:tcPr>
          <w:p w14:paraId="6D1A3254" w14:textId="77777777" w:rsidR="003261C2" w:rsidRPr="00EF0794" w:rsidRDefault="003261C2" w:rsidP="007E3638">
            <w:pPr>
              <w:spacing w:line="276" w:lineRule="auto"/>
              <w:jc w:val="right"/>
              <w:rPr>
                <w:color w:val="000000" w:themeColor="text1"/>
                <w:szCs w:val="21"/>
              </w:rPr>
            </w:pPr>
            <w:r w:rsidRPr="00EF0794">
              <w:rPr>
                <w:color w:val="000000" w:themeColor="text1"/>
                <w:szCs w:val="21"/>
              </w:rPr>
              <w:t>0.092%</w:t>
            </w:r>
          </w:p>
        </w:tc>
        <w:tc>
          <w:tcPr>
            <w:tcW w:w="815" w:type="pct"/>
            <w:shd w:val="clear" w:color="auto" w:fill="auto"/>
            <w:vAlign w:val="center"/>
          </w:tcPr>
          <w:p w14:paraId="2109C451" w14:textId="77777777" w:rsidR="003261C2" w:rsidRPr="00EF0794" w:rsidRDefault="003261C2" w:rsidP="007E3638">
            <w:pPr>
              <w:spacing w:line="276" w:lineRule="auto"/>
              <w:jc w:val="right"/>
              <w:rPr>
                <w:color w:val="000000" w:themeColor="text1"/>
                <w:szCs w:val="21"/>
              </w:rPr>
            </w:pPr>
            <w:r w:rsidRPr="00EF0794">
              <w:rPr>
                <w:color w:val="000000" w:themeColor="text1"/>
                <w:szCs w:val="21"/>
              </w:rPr>
              <w:t>0.00012%</w:t>
            </w:r>
          </w:p>
        </w:tc>
      </w:tr>
      <w:tr w:rsidR="003261C2" w:rsidRPr="00EF0794" w14:paraId="02844534" w14:textId="77777777" w:rsidTr="007807F2">
        <w:trPr>
          <w:cantSplit/>
          <w:trHeight w:val="397"/>
        </w:trPr>
        <w:tc>
          <w:tcPr>
            <w:tcW w:w="856" w:type="pct"/>
            <w:shd w:val="clear" w:color="auto" w:fill="auto"/>
            <w:vAlign w:val="center"/>
          </w:tcPr>
          <w:p w14:paraId="08436FF8" w14:textId="77777777" w:rsidR="003261C2" w:rsidRPr="00EF0794" w:rsidRDefault="003261C2" w:rsidP="007E3638">
            <w:pPr>
              <w:jc w:val="center"/>
              <w:rPr>
                <w:color w:val="000000" w:themeColor="text1"/>
                <w:szCs w:val="21"/>
              </w:rPr>
            </w:pPr>
            <w:proofErr w:type="gramStart"/>
            <w:r w:rsidRPr="00EF0794">
              <w:rPr>
                <w:color w:val="000000" w:themeColor="text1"/>
                <w:szCs w:val="21"/>
              </w:rPr>
              <w:t>方树康</w:t>
            </w:r>
            <w:proofErr w:type="gramEnd"/>
          </w:p>
        </w:tc>
        <w:tc>
          <w:tcPr>
            <w:tcW w:w="1026" w:type="pct"/>
            <w:shd w:val="clear" w:color="auto" w:fill="auto"/>
            <w:vAlign w:val="center"/>
          </w:tcPr>
          <w:p w14:paraId="1E2B32D2" w14:textId="77777777" w:rsidR="003261C2" w:rsidRPr="00EF0794" w:rsidRDefault="003261C2" w:rsidP="007E3638">
            <w:pPr>
              <w:jc w:val="center"/>
              <w:rPr>
                <w:color w:val="000000" w:themeColor="text1"/>
                <w:szCs w:val="21"/>
              </w:rPr>
            </w:pPr>
            <w:r w:rsidRPr="00EF0794">
              <w:rPr>
                <w:color w:val="000000" w:themeColor="text1"/>
                <w:szCs w:val="21"/>
              </w:rPr>
              <w:t>中层管理人员</w:t>
            </w:r>
          </w:p>
        </w:tc>
        <w:tc>
          <w:tcPr>
            <w:tcW w:w="705" w:type="pct"/>
            <w:shd w:val="clear" w:color="auto" w:fill="auto"/>
            <w:vAlign w:val="center"/>
          </w:tcPr>
          <w:p w14:paraId="7A495ED4" w14:textId="77777777" w:rsidR="003261C2" w:rsidRPr="00EF0794" w:rsidRDefault="003261C2" w:rsidP="007E3638">
            <w:pPr>
              <w:jc w:val="center"/>
              <w:rPr>
                <w:color w:val="000000" w:themeColor="text1"/>
                <w:szCs w:val="21"/>
              </w:rPr>
            </w:pPr>
            <w:r w:rsidRPr="00EF0794">
              <w:rPr>
                <w:color w:val="000000" w:themeColor="text1"/>
                <w:szCs w:val="21"/>
              </w:rPr>
              <w:t>中国香港</w:t>
            </w:r>
          </w:p>
        </w:tc>
        <w:tc>
          <w:tcPr>
            <w:tcW w:w="829" w:type="pct"/>
            <w:shd w:val="clear" w:color="auto" w:fill="auto"/>
            <w:vAlign w:val="center"/>
          </w:tcPr>
          <w:p w14:paraId="6BC7E239" w14:textId="77777777" w:rsidR="003261C2" w:rsidRPr="00EF0794" w:rsidRDefault="003261C2" w:rsidP="007E3638">
            <w:pPr>
              <w:spacing w:line="276" w:lineRule="auto"/>
              <w:jc w:val="right"/>
              <w:rPr>
                <w:color w:val="000000" w:themeColor="text1"/>
                <w:szCs w:val="21"/>
              </w:rPr>
            </w:pPr>
            <w:r w:rsidRPr="00EF0794">
              <w:rPr>
                <w:color w:val="000000" w:themeColor="text1"/>
                <w:szCs w:val="21"/>
              </w:rPr>
              <w:t>1.739</w:t>
            </w:r>
          </w:p>
        </w:tc>
        <w:tc>
          <w:tcPr>
            <w:tcW w:w="769" w:type="pct"/>
            <w:shd w:val="clear" w:color="auto" w:fill="auto"/>
            <w:vAlign w:val="center"/>
          </w:tcPr>
          <w:p w14:paraId="6E3EA49B" w14:textId="77777777" w:rsidR="003261C2" w:rsidRPr="00EF0794" w:rsidRDefault="003261C2" w:rsidP="007E3638">
            <w:pPr>
              <w:spacing w:line="276" w:lineRule="auto"/>
              <w:jc w:val="right"/>
              <w:rPr>
                <w:color w:val="000000" w:themeColor="text1"/>
                <w:szCs w:val="21"/>
              </w:rPr>
            </w:pPr>
            <w:r w:rsidRPr="00EF0794">
              <w:rPr>
                <w:color w:val="000000" w:themeColor="text1"/>
                <w:szCs w:val="21"/>
              </w:rPr>
              <w:t>0.591%</w:t>
            </w:r>
          </w:p>
        </w:tc>
        <w:tc>
          <w:tcPr>
            <w:tcW w:w="815" w:type="pct"/>
            <w:shd w:val="clear" w:color="auto" w:fill="auto"/>
            <w:vAlign w:val="center"/>
          </w:tcPr>
          <w:p w14:paraId="743DD0E8" w14:textId="77777777" w:rsidR="003261C2" w:rsidRPr="00EF0794" w:rsidRDefault="003261C2" w:rsidP="007E3638">
            <w:pPr>
              <w:spacing w:line="276" w:lineRule="auto"/>
              <w:jc w:val="right"/>
              <w:rPr>
                <w:color w:val="000000" w:themeColor="text1"/>
                <w:szCs w:val="21"/>
              </w:rPr>
            </w:pPr>
            <w:r w:rsidRPr="00EF0794">
              <w:rPr>
                <w:color w:val="000000" w:themeColor="text1"/>
                <w:szCs w:val="21"/>
              </w:rPr>
              <w:t>0.00075%</w:t>
            </w:r>
          </w:p>
        </w:tc>
      </w:tr>
      <w:tr w:rsidR="003261C2" w:rsidRPr="00EF0794" w14:paraId="1C5699B4" w14:textId="77777777" w:rsidTr="007807F2">
        <w:trPr>
          <w:cantSplit/>
          <w:trHeight w:val="397"/>
        </w:trPr>
        <w:tc>
          <w:tcPr>
            <w:tcW w:w="856" w:type="pct"/>
            <w:shd w:val="clear" w:color="auto" w:fill="auto"/>
            <w:vAlign w:val="center"/>
          </w:tcPr>
          <w:p w14:paraId="275F852E" w14:textId="77777777" w:rsidR="003261C2" w:rsidRPr="00EF0794" w:rsidRDefault="003261C2" w:rsidP="007E3638">
            <w:pPr>
              <w:jc w:val="center"/>
              <w:rPr>
                <w:color w:val="000000" w:themeColor="text1"/>
                <w:szCs w:val="21"/>
              </w:rPr>
            </w:pPr>
            <w:proofErr w:type="gramStart"/>
            <w:r w:rsidRPr="00EF0794">
              <w:rPr>
                <w:color w:val="000000" w:themeColor="text1"/>
                <w:szCs w:val="21"/>
              </w:rPr>
              <w:t>周耀强</w:t>
            </w:r>
            <w:proofErr w:type="gramEnd"/>
          </w:p>
        </w:tc>
        <w:tc>
          <w:tcPr>
            <w:tcW w:w="1026" w:type="pct"/>
            <w:shd w:val="clear" w:color="auto" w:fill="auto"/>
            <w:vAlign w:val="center"/>
          </w:tcPr>
          <w:p w14:paraId="1684EC6A" w14:textId="77777777" w:rsidR="003261C2" w:rsidRPr="00EF0794" w:rsidRDefault="003261C2" w:rsidP="007E3638">
            <w:pPr>
              <w:jc w:val="center"/>
              <w:rPr>
                <w:color w:val="000000" w:themeColor="text1"/>
                <w:szCs w:val="21"/>
              </w:rPr>
            </w:pPr>
            <w:r w:rsidRPr="00EF0794">
              <w:rPr>
                <w:color w:val="000000" w:themeColor="text1"/>
                <w:szCs w:val="21"/>
              </w:rPr>
              <w:t>中层管理人员</w:t>
            </w:r>
          </w:p>
        </w:tc>
        <w:tc>
          <w:tcPr>
            <w:tcW w:w="705" w:type="pct"/>
            <w:shd w:val="clear" w:color="auto" w:fill="auto"/>
            <w:vAlign w:val="center"/>
          </w:tcPr>
          <w:p w14:paraId="046E598E" w14:textId="77777777" w:rsidR="003261C2" w:rsidRPr="00EF0794" w:rsidRDefault="003261C2" w:rsidP="007E3638">
            <w:pPr>
              <w:jc w:val="center"/>
              <w:rPr>
                <w:color w:val="000000" w:themeColor="text1"/>
                <w:szCs w:val="21"/>
              </w:rPr>
            </w:pPr>
            <w:r w:rsidRPr="00EF0794">
              <w:rPr>
                <w:color w:val="000000" w:themeColor="text1"/>
                <w:szCs w:val="21"/>
              </w:rPr>
              <w:t>中国香港</w:t>
            </w:r>
          </w:p>
        </w:tc>
        <w:tc>
          <w:tcPr>
            <w:tcW w:w="829" w:type="pct"/>
            <w:shd w:val="clear" w:color="auto" w:fill="auto"/>
            <w:vAlign w:val="center"/>
          </w:tcPr>
          <w:p w14:paraId="186E5529" w14:textId="77777777" w:rsidR="003261C2" w:rsidRPr="00EF0794" w:rsidRDefault="003261C2" w:rsidP="007E3638">
            <w:pPr>
              <w:spacing w:line="276" w:lineRule="auto"/>
              <w:jc w:val="right"/>
              <w:rPr>
                <w:color w:val="000000" w:themeColor="text1"/>
                <w:szCs w:val="21"/>
              </w:rPr>
            </w:pPr>
            <w:r w:rsidRPr="00EF0794">
              <w:rPr>
                <w:color w:val="000000" w:themeColor="text1"/>
                <w:szCs w:val="21"/>
              </w:rPr>
              <w:t>1.920</w:t>
            </w:r>
          </w:p>
        </w:tc>
        <w:tc>
          <w:tcPr>
            <w:tcW w:w="769" w:type="pct"/>
            <w:shd w:val="clear" w:color="auto" w:fill="auto"/>
            <w:vAlign w:val="center"/>
          </w:tcPr>
          <w:p w14:paraId="5BC5BEB0" w14:textId="77777777" w:rsidR="003261C2" w:rsidRPr="00EF0794" w:rsidRDefault="003261C2" w:rsidP="007E3638">
            <w:pPr>
              <w:spacing w:line="276" w:lineRule="auto"/>
              <w:jc w:val="right"/>
              <w:rPr>
                <w:color w:val="000000" w:themeColor="text1"/>
                <w:szCs w:val="21"/>
              </w:rPr>
            </w:pPr>
            <w:r w:rsidRPr="00EF0794">
              <w:rPr>
                <w:color w:val="000000" w:themeColor="text1"/>
                <w:szCs w:val="21"/>
              </w:rPr>
              <w:t>0.653%</w:t>
            </w:r>
          </w:p>
        </w:tc>
        <w:tc>
          <w:tcPr>
            <w:tcW w:w="815" w:type="pct"/>
            <w:shd w:val="clear" w:color="auto" w:fill="auto"/>
            <w:vAlign w:val="center"/>
          </w:tcPr>
          <w:p w14:paraId="4C315A00" w14:textId="77777777" w:rsidR="003261C2" w:rsidRPr="00EF0794" w:rsidRDefault="003261C2" w:rsidP="007E3638">
            <w:pPr>
              <w:spacing w:line="276" w:lineRule="auto"/>
              <w:jc w:val="right"/>
              <w:rPr>
                <w:color w:val="000000" w:themeColor="text1"/>
                <w:szCs w:val="21"/>
              </w:rPr>
            </w:pPr>
            <w:r w:rsidRPr="00EF0794">
              <w:rPr>
                <w:color w:val="000000" w:themeColor="text1"/>
                <w:szCs w:val="21"/>
              </w:rPr>
              <w:t>0.00082%</w:t>
            </w:r>
          </w:p>
        </w:tc>
      </w:tr>
      <w:tr w:rsidR="003261C2" w:rsidRPr="00EF0794" w14:paraId="1D35A8BE" w14:textId="77777777" w:rsidTr="007807F2">
        <w:trPr>
          <w:cantSplit/>
          <w:trHeight w:val="397"/>
        </w:trPr>
        <w:tc>
          <w:tcPr>
            <w:tcW w:w="2587" w:type="pct"/>
            <w:gridSpan w:val="3"/>
            <w:vAlign w:val="center"/>
          </w:tcPr>
          <w:p w14:paraId="415350DA" w14:textId="77777777" w:rsidR="003261C2" w:rsidRPr="00EF0794" w:rsidRDefault="003261C2" w:rsidP="007E3638">
            <w:pPr>
              <w:jc w:val="center"/>
              <w:rPr>
                <w:color w:val="000000" w:themeColor="text1"/>
                <w:szCs w:val="21"/>
              </w:rPr>
            </w:pPr>
            <w:r w:rsidRPr="00EF0794">
              <w:rPr>
                <w:color w:val="000000" w:themeColor="text1"/>
                <w:szCs w:val="21"/>
              </w:rPr>
              <w:t>其他中层管理人员（共</w:t>
            </w:r>
            <w:r w:rsidRPr="00EF0794">
              <w:rPr>
                <w:color w:val="000000" w:themeColor="text1"/>
                <w:szCs w:val="21"/>
              </w:rPr>
              <w:t>290</w:t>
            </w:r>
            <w:r w:rsidRPr="00EF0794">
              <w:rPr>
                <w:color w:val="000000" w:themeColor="text1"/>
                <w:szCs w:val="21"/>
              </w:rPr>
              <w:t>人）</w:t>
            </w:r>
          </w:p>
        </w:tc>
        <w:tc>
          <w:tcPr>
            <w:tcW w:w="829" w:type="pct"/>
            <w:shd w:val="clear" w:color="auto" w:fill="auto"/>
            <w:vAlign w:val="center"/>
          </w:tcPr>
          <w:p w14:paraId="34519975" w14:textId="77777777" w:rsidR="003261C2" w:rsidRPr="00EF0794" w:rsidRDefault="003261C2" w:rsidP="007E3638">
            <w:pPr>
              <w:jc w:val="right"/>
              <w:rPr>
                <w:color w:val="000000" w:themeColor="text1"/>
                <w:szCs w:val="21"/>
              </w:rPr>
            </w:pPr>
            <w:r w:rsidRPr="00EF0794">
              <w:rPr>
                <w:color w:val="000000" w:themeColor="text1"/>
                <w:szCs w:val="21"/>
              </w:rPr>
              <w:t>197.033</w:t>
            </w:r>
          </w:p>
        </w:tc>
        <w:tc>
          <w:tcPr>
            <w:tcW w:w="769" w:type="pct"/>
            <w:shd w:val="clear" w:color="auto" w:fill="auto"/>
            <w:vAlign w:val="center"/>
          </w:tcPr>
          <w:p w14:paraId="3978E450" w14:textId="77777777" w:rsidR="003261C2" w:rsidRPr="00EF0794" w:rsidRDefault="003261C2" w:rsidP="007E3638">
            <w:pPr>
              <w:jc w:val="right"/>
              <w:rPr>
                <w:color w:val="000000" w:themeColor="text1"/>
                <w:szCs w:val="21"/>
              </w:rPr>
            </w:pPr>
            <w:r w:rsidRPr="00EF0794">
              <w:rPr>
                <w:color w:val="000000" w:themeColor="text1"/>
                <w:szCs w:val="21"/>
              </w:rPr>
              <w:t>67.011%</w:t>
            </w:r>
          </w:p>
        </w:tc>
        <w:tc>
          <w:tcPr>
            <w:tcW w:w="815" w:type="pct"/>
            <w:shd w:val="clear" w:color="auto" w:fill="auto"/>
            <w:vAlign w:val="center"/>
          </w:tcPr>
          <w:p w14:paraId="6DDB9D7D" w14:textId="77777777" w:rsidR="003261C2" w:rsidRPr="00EF0794" w:rsidRDefault="003261C2" w:rsidP="007E3638">
            <w:pPr>
              <w:jc w:val="right"/>
              <w:rPr>
                <w:color w:val="000000" w:themeColor="text1"/>
                <w:szCs w:val="21"/>
              </w:rPr>
            </w:pPr>
            <w:r w:rsidRPr="00EF0794">
              <w:rPr>
                <w:color w:val="000000" w:themeColor="text1"/>
                <w:szCs w:val="21"/>
              </w:rPr>
              <w:t>0.08460%</w:t>
            </w:r>
          </w:p>
        </w:tc>
      </w:tr>
      <w:tr w:rsidR="003261C2" w:rsidRPr="00EF0794" w14:paraId="3646C479" w14:textId="77777777" w:rsidTr="007807F2">
        <w:trPr>
          <w:cantSplit/>
          <w:trHeight w:val="397"/>
        </w:trPr>
        <w:tc>
          <w:tcPr>
            <w:tcW w:w="2587" w:type="pct"/>
            <w:gridSpan w:val="3"/>
            <w:vAlign w:val="center"/>
          </w:tcPr>
          <w:p w14:paraId="2E973CE4" w14:textId="77777777" w:rsidR="003261C2" w:rsidRPr="00EF0794" w:rsidRDefault="003261C2" w:rsidP="007E3638">
            <w:pPr>
              <w:jc w:val="center"/>
              <w:rPr>
                <w:color w:val="000000" w:themeColor="text1"/>
                <w:szCs w:val="21"/>
              </w:rPr>
            </w:pPr>
            <w:r w:rsidRPr="00EF0794">
              <w:rPr>
                <w:color w:val="000000" w:themeColor="text1"/>
                <w:szCs w:val="21"/>
              </w:rPr>
              <w:t>预留部分</w:t>
            </w:r>
          </w:p>
        </w:tc>
        <w:tc>
          <w:tcPr>
            <w:tcW w:w="829" w:type="pct"/>
            <w:shd w:val="clear" w:color="auto" w:fill="auto"/>
            <w:vAlign w:val="center"/>
          </w:tcPr>
          <w:p w14:paraId="7B07D5AF" w14:textId="77777777" w:rsidR="003261C2" w:rsidRPr="00EF0794" w:rsidRDefault="003261C2" w:rsidP="007E3638">
            <w:pPr>
              <w:jc w:val="right"/>
              <w:rPr>
                <w:color w:val="000000" w:themeColor="text1"/>
                <w:szCs w:val="21"/>
              </w:rPr>
            </w:pPr>
            <w:r w:rsidRPr="00EF0794">
              <w:rPr>
                <w:color w:val="000000" w:themeColor="text1"/>
                <w:szCs w:val="21"/>
              </w:rPr>
              <w:t>89.902</w:t>
            </w:r>
          </w:p>
        </w:tc>
        <w:tc>
          <w:tcPr>
            <w:tcW w:w="769" w:type="pct"/>
            <w:shd w:val="clear" w:color="auto" w:fill="auto"/>
            <w:vAlign w:val="center"/>
          </w:tcPr>
          <w:p w14:paraId="769D9920" w14:textId="77777777" w:rsidR="003261C2" w:rsidRPr="00EF0794" w:rsidRDefault="003261C2" w:rsidP="007E3638">
            <w:pPr>
              <w:jc w:val="right"/>
              <w:rPr>
                <w:color w:val="000000" w:themeColor="text1"/>
                <w:szCs w:val="21"/>
              </w:rPr>
            </w:pPr>
            <w:r w:rsidRPr="00EF0794">
              <w:rPr>
                <w:color w:val="000000" w:themeColor="text1"/>
                <w:szCs w:val="21"/>
              </w:rPr>
              <w:t>30.576%</w:t>
            </w:r>
          </w:p>
        </w:tc>
        <w:tc>
          <w:tcPr>
            <w:tcW w:w="815" w:type="pct"/>
            <w:shd w:val="clear" w:color="auto" w:fill="auto"/>
            <w:vAlign w:val="center"/>
          </w:tcPr>
          <w:p w14:paraId="170858E3" w14:textId="77777777" w:rsidR="003261C2" w:rsidRPr="00EF0794" w:rsidRDefault="003261C2" w:rsidP="007E3638">
            <w:pPr>
              <w:jc w:val="right"/>
              <w:rPr>
                <w:color w:val="000000" w:themeColor="text1"/>
                <w:szCs w:val="21"/>
              </w:rPr>
            </w:pPr>
            <w:r w:rsidRPr="00EF0794">
              <w:rPr>
                <w:color w:val="000000" w:themeColor="text1"/>
                <w:szCs w:val="21"/>
              </w:rPr>
              <w:t>0.03860%</w:t>
            </w:r>
          </w:p>
        </w:tc>
      </w:tr>
      <w:tr w:rsidR="003261C2" w:rsidRPr="00EF0794" w14:paraId="4A436F8F" w14:textId="77777777" w:rsidTr="007807F2">
        <w:trPr>
          <w:cantSplit/>
          <w:trHeight w:val="397"/>
        </w:trPr>
        <w:tc>
          <w:tcPr>
            <w:tcW w:w="2587" w:type="pct"/>
            <w:gridSpan w:val="3"/>
            <w:vAlign w:val="center"/>
          </w:tcPr>
          <w:p w14:paraId="53EC1EC9" w14:textId="77777777" w:rsidR="003261C2" w:rsidRPr="00EF0794" w:rsidRDefault="003261C2" w:rsidP="007E3638">
            <w:pPr>
              <w:jc w:val="center"/>
              <w:rPr>
                <w:b/>
                <w:color w:val="000000" w:themeColor="text1"/>
                <w:szCs w:val="21"/>
              </w:rPr>
            </w:pPr>
            <w:r w:rsidRPr="00EF0794">
              <w:rPr>
                <w:b/>
                <w:color w:val="000000" w:themeColor="text1"/>
                <w:szCs w:val="21"/>
              </w:rPr>
              <w:t>合计</w:t>
            </w:r>
          </w:p>
        </w:tc>
        <w:tc>
          <w:tcPr>
            <w:tcW w:w="829" w:type="pct"/>
            <w:shd w:val="clear" w:color="auto" w:fill="auto"/>
            <w:vAlign w:val="center"/>
          </w:tcPr>
          <w:p w14:paraId="2465F424" w14:textId="77777777" w:rsidR="003261C2" w:rsidRPr="00EF0794" w:rsidRDefault="003261C2" w:rsidP="007E3638">
            <w:pPr>
              <w:jc w:val="right"/>
              <w:rPr>
                <w:b/>
                <w:color w:val="000000" w:themeColor="text1"/>
                <w:szCs w:val="21"/>
              </w:rPr>
            </w:pPr>
            <w:r w:rsidRPr="00EF0794">
              <w:rPr>
                <w:b/>
                <w:color w:val="000000" w:themeColor="text1"/>
                <w:szCs w:val="21"/>
              </w:rPr>
              <w:t>294.03</w:t>
            </w:r>
          </w:p>
        </w:tc>
        <w:tc>
          <w:tcPr>
            <w:tcW w:w="769" w:type="pct"/>
            <w:shd w:val="clear" w:color="auto" w:fill="auto"/>
            <w:vAlign w:val="center"/>
          </w:tcPr>
          <w:p w14:paraId="7653CADD" w14:textId="77777777" w:rsidR="003261C2" w:rsidRPr="00EF0794" w:rsidRDefault="003261C2" w:rsidP="007E3638">
            <w:pPr>
              <w:jc w:val="right"/>
              <w:rPr>
                <w:b/>
                <w:color w:val="000000" w:themeColor="text1"/>
                <w:szCs w:val="21"/>
              </w:rPr>
            </w:pPr>
            <w:r w:rsidRPr="00EF0794">
              <w:rPr>
                <w:b/>
                <w:color w:val="000000" w:themeColor="text1"/>
                <w:szCs w:val="21"/>
              </w:rPr>
              <w:t>100%</w:t>
            </w:r>
          </w:p>
        </w:tc>
        <w:tc>
          <w:tcPr>
            <w:tcW w:w="815" w:type="pct"/>
            <w:shd w:val="clear" w:color="auto" w:fill="auto"/>
            <w:vAlign w:val="center"/>
          </w:tcPr>
          <w:p w14:paraId="079A6C8F" w14:textId="77777777" w:rsidR="003261C2" w:rsidRPr="00EF0794" w:rsidRDefault="003261C2" w:rsidP="007E3638">
            <w:pPr>
              <w:jc w:val="right"/>
              <w:rPr>
                <w:b/>
                <w:bCs/>
                <w:color w:val="000000" w:themeColor="text1"/>
                <w:szCs w:val="21"/>
              </w:rPr>
            </w:pPr>
            <w:r w:rsidRPr="00EF0794">
              <w:rPr>
                <w:b/>
                <w:bCs/>
                <w:color w:val="000000" w:themeColor="text1"/>
                <w:szCs w:val="21"/>
              </w:rPr>
              <w:t>0.1262%</w:t>
            </w:r>
          </w:p>
        </w:tc>
      </w:tr>
    </w:tbl>
    <w:p w14:paraId="391150FA" w14:textId="1FA61E50" w:rsidR="003261C2" w:rsidRPr="00EF0794" w:rsidRDefault="003261C2" w:rsidP="003261C2">
      <w:pPr>
        <w:ind w:firstLineChars="200" w:firstLine="420"/>
        <w:rPr>
          <w:szCs w:val="21"/>
        </w:rPr>
      </w:pPr>
      <w:r w:rsidRPr="00EF0794">
        <w:rPr>
          <w:szCs w:val="21"/>
        </w:rPr>
        <w:t>注：</w:t>
      </w:r>
      <w:r w:rsidR="006D6071" w:rsidRPr="00EF0794">
        <w:rPr>
          <w:rFonts w:ascii="宋体" w:hAnsi="宋体" w:cs="宋体" w:hint="eastAsia"/>
          <w:szCs w:val="21"/>
        </w:rPr>
        <w:t>①</w:t>
      </w:r>
      <w:r w:rsidRPr="00EF0794">
        <w:rPr>
          <w:szCs w:val="21"/>
        </w:rPr>
        <w:t>上述任何一名激励对象通过全部有效的股权激励计划获授的本公司股票均未超过公司总股本的</w:t>
      </w:r>
      <w:r w:rsidRPr="00EF0794">
        <w:rPr>
          <w:szCs w:val="21"/>
        </w:rPr>
        <w:t>1%</w:t>
      </w:r>
      <w:r w:rsidRPr="00EF0794">
        <w:rPr>
          <w:szCs w:val="21"/>
        </w:rPr>
        <w:t>。公司所有在有效期内的股权激励计划所涉及的标的股票总数累计未超过公司股本总额的</w:t>
      </w:r>
      <w:r w:rsidRPr="00EF0794">
        <w:rPr>
          <w:szCs w:val="21"/>
        </w:rPr>
        <w:t>20%</w:t>
      </w:r>
      <w:r w:rsidRPr="00EF0794">
        <w:rPr>
          <w:szCs w:val="21"/>
        </w:rPr>
        <w:t>；</w:t>
      </w:r>
      <w:r w:rsidR="006D6071" w:rsidRPr="00EF0794">
        <w:rPr>
          <w:rFonts w:ascii="宋体" w:hAnsi="宋体" w:cs="宋体" w:hint="eastAsia"/>
          <w:szCs w:val="21"/>
        </w:rPr>
        <w:t>②</w:t>
      </w:r>
      <w:r w:rsidRPr="00EF0794">
        <w:rPr>
          <w:szCs w:val="21"/>
        </w:rPr>
        <w:t>本激励计划激励对象不包括独立董事、监事及单独或合计持有公司</w:t>
      </w:r>
      <w:r w:rsidRPr="00EF0794">
        <w:rPr>
          <w:szCs w:val="21"/>
        </w:rPr>
        <w:t>5%</w:t>
      </w:r>
      <w:r w:rsidRPr="00EF0794">
        <w:rPr>
          <w:szCs w:val="21"/>
        </w:rPr>
        <w:t>以上股份的股东或实际控制人及其配偶、父母、子女；</w:t>
      </w:r>
      <w:r w:rsidR="006D6071" w:rsidRPr="00EF0794">
        <w:rPr>
          <w:rFonts w:ascii="宋体" w:hAnsi="宋体" w:cs="宋体" w:hint="eastAsia"/>
          <w:szCs w:val="21"/>
        </w:rPr>
        <w:t>③</w:t>
      </w:r>
      <w:r w:rsidRPr="00EF0794">
        <w:rPr>
          <w:szCs w:val="21"/>
        </w:rPr>
        <w:t>上表中数值若出现总数与各分项数值之和尾数不符，均为四舍五入原因所致。</w:t>
      </w:r>
    </w:p>
    <w:p w14:paraId="280E88F7" w14:textId="534E549A" w:rsidR="007632D5" w:rsidRPr="00EF0794" w:rsidRDefault="007632D5" w:rsidP="007632D5">
      <w:pPr>
        <w:autoSpaceDE w:val="0"/>
        <w:autoSpaceDN w:val="0"/>
        <w:spacing w:beforeLines="50" w:before="156" w:line="360" w:lineRule="auto"/>
        <w:ind w:firstLineChars="200" w:firstLine="480"/>
        <w:rPr>
          <w:sz w:val="24"/>
        </w:rPr>
      </w:pPr>
      <w:r w:rsidRPr="00EF0794">
        <w:rPr>
          <w:sz w:val="24"/>
        </w:rPr>
        <w:t>6</w:t>
      </w:r>
      <w:r w:rsidRPr="00EF0794">
        <w:rPr>
          <w:sz w:val="24"/>
        </w:rPr>
        <w:t>、行权安排</w:t>
      </w:r>
    </w:p>
    <w:p w14:paraId="5A243F55" w14:textId="11CAEDF1" w:rsidR="007632D5" w:rsidRPr="00EF0794" w:rsidRDefault="007632D5" w:rsidP="007632D5">
      <w:pPr>
        <w:topLinePunct/>
        <w:spacing w:beforeLines="50" w:before="156" w:line="360" w:lineRule="auto"/>
        <w:ind w:firstLineChars="200" w:firstLine="480"/>
        <w:rPr>
          <w:color w:val="000000"/>
          <w:kern w:val="0"/>
          <w:sz w:val="24"/>
        </w:rPr>
      </w:pPr>
      <w:r w:rsidRPr="00EF0794">
        <w:rPr>
          <w:color w:val="000000"/>
          <w:kern w:val="0"/>
          <w:sz w:val="24"/>
        </w:rPr>
        <w:lastRenderedPageBreak/>
        <w:t>在本激励计划经股东大会通过后，授予的股票期权自授权之日起满</w:t>
      </w:r>
      <w:r w:rsidRPr="00EF0794">
        <w:rPr>
          <w:color w:val="000000"/>
          <w:kern w:val="0"/>
          <w:sz w:val="24"/>
        </w:rPr>
        <w:t>12</w:t>
      </w:r>
      <w:r w:rsidRPr="00EF0794">
        <w:rPr>
          <w:color w:val="000000"/>
          <w:kern w:val="0"/>
          <w:sz w:val="24"/>
        </w:rPr>
        <w:t>个月后，且在激励对象满足相应行权条件后按约定比例分次行权，行权日必须为本激励计划有效期内的</w:t>
      </w:r>
      <w:proofErr w:type="gramStart"/>
      <w:r w:rsidRPr="00EF0794">
        <w:rPr>
          <w:color w:val="000000"/>
          <w:kern w:val="0"/>
          <w:sz w:val="24"/>
        </w:rPr>
        <w:t>交易日且符合</w:t>
      </w:r>
      <w:proofErr w:type="gramEnd"/>
      <w:r w:rsidRPr="00EF0794">
        <w:rPr>
          <w:color w:val="000000"/>
          <w:kern w:val="0"/>
          <w:sz w:val="24"/>
        </w:rPr>
        <w:t>相关法律法规的要求。</w:t>
      </w:r>
    </w:p>
    <w:p w14:paraId="2457D5E8" w14:textId="77777777" w:rsidR="007632D5" w:rsidRPr="00EF0794" w:rsidRDefault="007632D5" w:rsidP="007632D5">
      <w:pPr>
        <w:autoSpaceDE w:val="0"/>
        <w:autoSpaceDN w:val="0"/>
        <w:adjustRightInd w:val="0"/>
        <w:spacing w:beforeLines="50" w:before="156" w:afterLines="50" w:after="156" w:line="300" w:lineRule="auto"/>
        <w:ind w:firstLineChars="200" w:firstLine="480"/>
        <w:rPr>
          <w:color w:val="000000"/>
          <w:kern w:val="0"/>
          <w:sz w:val="24"/>
        </w:rPr>
      </w:pPr>
      <w:r w:rsidRPr="00EF0794">
        <w:rPr>
          <w:color w:val="000000"/>
          <w:kern w:val="0"/>
          <w:sz w:val="24"/>
        </w:rPr>
        <w:t>本激励计划授予的股票期权，对激励对象设置了不同的行权安排。</w:t>
      </w:r>
    </w:p>
    <w:p w14:paraId="58B5E558" w14:textId="77777777" w:rsidR="007632D5" w:rsidRPr="00EF0794" w:rsidRDefault="007632D5" w:rsidP="007632D5">
      <w:pPr>
        <w:autoSpaceDE w:val="0"/>
        <w:autoSpaceDN w:val="0"/>
        <w:adjustRightInd w:val="0"/>
        <w:spacing w:beforeLines="50" w:before="156" w:afterLines="50" w:after="156" w:line="300" w:lineRule="auto"/>
        <w:ind w:firstLineChars="200" w:firstLine="480"/>
        <w:rPr>
          <w:color w:val="000000"/>
          <w:kern w:val="0"/>
          <w:sz w:val="24"/>
        </w:rPr>
      </w:pPr>
      <w:r w:rsidRPr="00EF0794">
        <w:rPr>
          <w:color w:val="000000"/>
          <w:kern w:val="0"/>
          <w:sz w:val="24"/>
        </w:rPr>
        <w:t>部分中层管理人员首次授予部分及预留授予部分的股票期权自授权之日起</w:t>
      </w:r>
      <w:r w:rsidRPr="00EF0794">
        <w:rPr>
          <w:color w:val="000000"/>
          <w:kern w:val="0"/>
          <w:sz w:val="24"/>
        </w:rPr>
        <w:t>12</w:t>
      </w:r>
      <w:r w:rsidRPr="00EF0794">
        <w:rPr>
          <w:color w:val="000000"/>
          <w:kern w:val="0"/>
          <w:sz w:val="24"/>
        </w:rPr>
        <w:t>个月后分三期行权，具体行权安排如下表所示：</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2"/>
        <w:gridCol w:w="4031"/>
        <w:gridCol w:w="1691"/>
      </w:tblGrid>
      <w:tr w:rsidR="007632D5" w:rsidRPr="00EF0794" w14:paraId="39CDA913" w14:textId="77777777" w:rsidTr="002833A0">
        <w:trPr>
          <w:cantSplit/>
          <w:trHeight w:val="567"/>
          <w:jc w:val="center"/>
        </w:trPr>
        <w:tc>
          <w:tcPr>
            <w:tcW w:w="2962" w:type="dxa"/>
            <w:shd w:val="clear" w:color="auto" w:fill="D8D8D8"/>
            <w:vAlign w:val="center"/>
          </w:tcPr>
          <w:p w14:paraId="552C466C" w14:textId="77777777" w:rsidR="007632D5" w:rsidRPr="00EF0794" w:rsidRDefault="007632D5" w:rsidP="00AD5BCC">
            <w:pPr>
              <w:pStyle w:val="Default"/>
              <w:spacing w:line="276" w:lineRule="auto"/>
              <w:jc w:val="center"/>
              <w:rPr>
                <w:rFonts w:ascii="Times New Roman" w:hAnsi="Times New Roman" w:cs="Times New Roman"/>
                <w:b/>
                <w:bCs/>
                <w:sz w:val="21"/>
                <w:szCs w:val="21"/>
              </w:rPr>
            </w:pPr>
            <w:r w:rsidRPr="00EF0794">
              <w:rPr>
                <w:rFonts w:ascii="Times New Roman" w:hAnsi="Times New Roman" w:cs="Times New Roman"/>
                <w:b/>
                <w:bCs/>
                <w:sz w:val="21"/>
                <w:szCs w:val="21"/>
              </w:rPr>
              <w:t>行权安排</w:t>
            </w:r>
          </w:p>
        </w:tc>
        <w:tc>
          <w:tcPr>
            <w:tcW w:w="4031" w:type="dxa"/>
            <w:shd w:val="clear" w:color="auto" w:fill="D8D8D8"/>
            <w:vAlign w:val="center"/>
          </w:tcPr>
          <w:p w14:paraId="1E9674D4" w14:textId="77777777" w:rsidR="007632D5" w:rsidRPr="00EF0794" w:rsidRDefault="007632D5" w:rsidP="00AD5BCC">
            <w:pPr>
              <w:pStyle w:val="Default"/>
              <w:spacing w:line="276" w:lineRule="auto"/>
              <w:jc w:val="center"/>
              <w:rPr>
                <w:rFonts w:ascii="Times New Roman" w:hAnsi="Times New Roman" w:cs="Times New Roman"/>
                <w:b/>
                <w:bCs/>
                <w:sz w:val="21"/>
                <w:szCs w:val="21"/>
              </w:rPr>
            </w:pPr>
            <w:r w:rsidRPr="00EF0794">
              <w:rPr>
                <w:rFonts w:ascii="Times New Roman" w:hAnsi="Times New Roman" w:cs="Times New Roman"/>
                <w:b/>
                <w:bCs/>
                <w:sz w:val="21"/>
                <w:szCs w:val="21"/>
              </w:rPr>
              <w:t>行权时间</w:t>
            </w:r>
          </w:p>
        </w:tc>
        <w:tc>
          <w:tcPr>
            <w:tcW w:w="1691" w:type="dxa"/>
            <w:shd w:val="clear" w:color="auto" w:fill="D8D8D8"/>
            <w:vAlign w:val="center"/>
          </w:tcPr>
          <w:p w14:paraId="0D0CA975" w14:textId="77777777" w:rsidR="007632D5" w:rsidRPr="00EF0794" w:rsidRDefault="007632D5" w:rsidP="00AD5BCC">
            <w:pPr>
              <w:pStyle w:val="Default"/>
              <w:spacing w:line="276" w:lineRule="auto"/>
              <w:jc w:val="center"/>
              <w:rPr>
                <w:rFonts w:ascii="Times New Roman" w:hAnsi="Times New Roman" w:cs="Times New Roman"/>
                <w:b/>
                <w:bCs/>
                <w:sz w:val="21"/>
                <w:szCs w:val="21"/>
              </w:rPr>
            </w:pPr>
            <w:r w:rsidRPr="00EF0794">
              <w:rPr>
                <w:rFonts w:ascii="Times New Roman" w:hAnsi="Times New Roman" w:cs="Times New Roman"/>
                <w:b/>
                <w:bCs/>
                <w:sz w:val="21"/>
                <w:szCs w:val="21"/>
              </w:rPr>
              <w:t>行权比例</w:t>
            </w:r>
          </w:p>
        </w:tc>
      </w:tr>
      <w:tr w:rsidR="007632D5" w:rsidRPr="00EF0794" w14:paraId="13B08B59" w14:textId="77777777" w:rsidTr="002833A0">
        <w:trPr>
          <w:cantSplit/>
          <w:trHeight w:val="20"/>
          <w:jc w:val="center"/>
        </w:trPr>
        <w:tc>
          <w:tcPr>
            <w:tcW w:w="2962" w:type="dxa"/>
            <w:vAlign w:val="center"/>
          </w:tcPr>
          <w:p w14:paraId="21DC00E4" w14:textId="77777777" w:rsidR="007632D5" w:rsidRPr="00EF0794" w:rsidRDefault="007632D5" w:rsidP="00AD5BCC">
            <w:pPr>
              <w:pStyle w:val="Default"/>
              <w:jc w:val="center"/>
              <w:rPr>
                <w:rFonts w:ascii="Times New Roman" w:hAnsi="Times New Roman" w:cs="Times New Roman"/>
                <w:sz w:val="21"/>
                <w:szCs w:val="22"/>
              </w:rPr>
            </w:pPr>
            <w:r w:rsidRPr="00EF0794">
              <w:rPr>
                <w:rFonts w:ascii="Times New Roman" w:hAnsi="Times New Roman" w:cs="Times New Roman"/>
                <w:sz w:val="21"/>
                <w:szCs w:val="22"/>
              </w:rPr>
              <w:t>首次授予部分及预留授予部分</w:t>
            </w:r>
          </w:p>
          <w:p w14:paraId="101AED25" w14:textId="77777777" w:rsidR="007632D5" w:rsidRPr="00EF0794" w:rsidRDefault="007632D5" w:rsidP="00AD5BCC">
            <w:pPr>
              <w:pStyle w:val="Default"/>
              <w:jc w:val="center"/>
              <w:rPr>
                <w:rFonts w:ascii="Times New Roman" w:hAnsi="Times New Roman" w:cs="Times New Roman"/>
                <w:sz w:val="21"/>
                <w:szCs w:val="22"/>
              </w:rPr>
            </w:pPr>
            <w:r w:rsidRPr="00EF0794">
              <w:rPr>
                <w:rFonts w:ascii="Times New Roman" w:hAnsi="Times New Roman" w:cs="Times New Roman"/>
                <w:sz w:val="21"/>
                <w:szCs w:val="22"/>
              </w:rPr>
              <w:t>第一个行权期</w:t>
            </w:r>
          </w:p>
        </w:tc>
        <w:tc>
          <w:tcPr>
            <w:tcW w:w="4031" w:type="dxa"/>
            <w:vAlign w:val="center"/>
          </w:tcPr>
          <w:p w14:paraId="74084E66" w14:textId="77777777" w:rsidR="007632D5" w:rsidRPr="00EF0794" w:rsidRDefault="007632D5" w:rsidP="00AD5BCC">
            <w:pPr>
              <w:pStyle w:val="Default"/>
              <w:rPr>
                <w:rFonts w:ascii="Times New Roman" w:hAnsi="Times New Roman" w:cs="Times New Roman"/>
                <w:sz w:val="21"/>
                <w:szCs w:val="22"/>
              </w:rPr>
            </w:pPr>
            <w:proofErr w:type="gramStart"/>
            <w:r w:rsidRPr="00EF0794">
              <w:rPr>
                <w:rFonts w:ascii="Times New Roman" w:hAnsi="Times New Roman" w:cs="Times New Roman"/>
                <w:sz w:val="21"/>
                <w:szCs w:val="22"/>
              </w:rPr>
              <w:t>自相应</w:t>
            </w:r>
            <w:proofErr w:type="gramEnd"/>
            <w:r w:rsidRPr="00EF0794">
              <w:rPr>
                <w:rFonts w:ascii="Times New Roman" w:hAnsi="Times New Roman" w:cs="Times New Roman"/>
                <w:sz w:val="21"/>
                <w:szCs w:val="22"/>
              </w:rPr>
              <w:t>部分股票期权授权之日起</w:t>
            </w:r>
            <w:r w:rsidRPr="00EF0794">
              <w:rPr>
                <w:rFonts w:ascii="Times New Roman" w:hAnsi="Times New Roman" w:cs="Times New Roman"/>
                <w:sz w:val="21"/>
                <w:szCs w:val="22"/>
              </w:rPr>
              <w:t>12</w:t>
            </w:r>
            <w:r w:rsidRPr="00EF0794">
              <w:rPr>
                <w:rFonts w:ascii="Times New Roman" w:hAnsi="Times New Roman" w:cs="Times New Roman"/>
                <w:sz w:val="21"/>
                <w:szCs w:val="22"/>
              </w:rPr>
              <w:t>个月后的首个交易日起</w:t>
            </w:r>
            <w:proofErr w:type="gramStart"/>
            <w:r w:rsidRPr="00EF0794">
              <w:rPr>
                <w:rFonts w:ascii="Times New Roman" w:hAnsi="Times New Roman" w:cs="Times New Roman"/>
                <w:sz w:val="21"/>
                <w:szCs w:val="22"/>
              </w:rPr>
              <w:t>至相应</w:t>
            </w:r>
            <w:proofErr w:type="gramEnd"/>
            <w:r w:rsidRPr="00EF0794">
              <w:rPr>
                <w:rFonts w:ascii="Times New Roman" w:hAnsi="Times New Roman" w:cs="Times New Roman"/>
                <w:sz w:val="21"/>
                <w:szCs w:val="22"/>
              </w:rPr>
              <w:t>部分股票期权授权之日起</w:t>
            </w:r>
            <w:r w:rsidRPr="00EF0794">
              <w:rPr>
                <w:rFonts w:ascii="Times New Roman" w:hAnsi="Times New Roman" w:cs="Times New Roman"/>
                <w:sz w:val="21"/>
                <w:szCs w:val="22"/>
              </w:rPr>
              <w:t>24</w:t>
            </w:r>
            <w:r w:rsidRPr="00EF0794">
              <w:rPr>
                <w:rFonts w:ascii="Times New Roman" w:hAnsi="Times New Roman" w:cs="Times New Roman"/>
                <w:sz w:val="21"/>
                <w:szCs w:val="22"/>
              </w:rPr>
              <w:t>个月内的最后一个交易日当日止</w:t>
            </w:r>
          </w:p>
        </w:tc>
        <w:tc>
          <w:tcPr>
            <w:tcW w:w="1691" w:type="dxa"/>
            <w:vAlign w:val="center"/>
          </w:tcPr>
          <w:p w14:paraId="7DB49477" w14:textId="77777777" w:rsidR="007632D5" w:rsidRPr="00EF0794" w:rsidRDefault="007632D5" w:rsidP="00AD5BCC">
            <w:pPr>
              <w:pStyle w:val="Default"/>
              <w:jc w:val="center"/>
              <w:rPr>
                <w:rFonts w:ascii="Times New Roman" w:hAnsi="Times New Roman" w:cs="Times New Roman"/>
                <w:sz w:val="21"/>
                <w:szCs w:val="22"/>
              </w:rPr>
            </w:pPr>
            <w:r w:rsidRPr="00EF0794">
              <w:rPr>
                <w:rFonts w:ascii="Times New Roman" w:hAnsi="Times New Roman" w:cs="Times New Roman"/>
                <w:sz w:val="21"/>
                <w:szCs w:val="22"/>
              </w:rPr>
              <w:t>20%</w:t>
            </w:r>
          </w:p>
        </w:tc>
      </w:tr>
      <w:tr w:rsidR="007632D5" w:rsidRPr="00EF0794" w14:paraId="790E0D81" w14:textId="77777777" w:rsidTr="002833A0">
        <w:trPr>
          <w:cantSplit/>
          <w:trHeight w:val="20"/>
          <w:jc w:val="center"/>
        </w:trPr>
        <w:tc>
          <w:tcPr>
            <w:tcW w:w="2962" w:type="dxa"/>
            <w:vAlign w:val="center"/>
          </w:tcPr>
          <w:p w14:paraId="76DEA162" w14:textId="77777777" w:rsidR="007632D5" w:rsidRPr="00EF0794" w:rsidRDefault="007632D5" w:rsidP="00AD5BCC">
            <w:pPr>
              <w:pStyle w:val="Default"/>
              <w:jc w:val="center"/>
              <w:rPr>
                <w:rFonts w:ascii="Times New Roman" w:hAnsi="Times New Roman" w:cs="Times New Roman"/>
                <w:sz w:val="21"/>
                <w:szCs w:val="22"/>
              </w:rPr>
            </w:pPr>
            <w:r w:rsidRPr="00EF0794">
              <w:rPr>
                <w:rFonts w:ascii="Times New Roman" w:hAnsi="Times New Roman" w:cs="Times New Roman"/>
                <w:sz w:val="21"/>
                <w:szCs w:val="22"/>
              </w:rPr>
              <w:t>首次授予部分及预留授予部分</w:t>
            </w:r>
          </w:p>
          <w:p w14:paraId="55E21474" w14:textId="77777777" w:rsidR="007632D5" w:rsidRPr="00EF0794" w:rsidRDefault="007632D5" w:rsidP="00AD5BCC">
            <w:pPr>
              <w:pStyle w:val="Default"/>
              <w:jc w:val="center"/>
              <w:rPr>
                <w:rFonts w:ascii="Times New Roman" w:hAnsi="Times New Roman" w:cs="Times New Roman"/>
                <w:sz w:val="21"/>
                <w:szCs w:val="22"/>
              </w:rPr>
            </w:pPr>
            <w:r w:rsidRPr="00EF0794">
              <w:rPr>
                <w:rFonts w:ascii="Times New Roman" w:hAnsi="Times New Roman" w:cs="Times New Roman"/>
                <w:sz w:val="21"/>
                <w:szCs w:val="22"/>
              </w:rPr>
              <w:t>第二个行权期</w:t>
            </w:r>
          </w:p>
        </w:tc>
        <w:tc>
          <w:tcPr>
            <w:tcW w:w="4031" w:type="dxa"/>
            <w:vAlign w:val="center"/>
          </w:tcPr>
          <w:p w14:paraId="5D3776B0" w14:textId="77777777" w:rsidR="007632D5" w:rsidRPr="00EF0794" w:rsidRDefault="007632D5" w:rsidP="00AD5BCC">
            <w:pPr>
              <w:pStyle w:val="Default"/>
              <w:rPr>
                <w:rFonts w:ascii="Times New Roman" w:hAnsi="Times New Roman" w:cs="Times New Roman"/>
                <w:sz w:val="21"/>
                <w:szCs w:val="22"/>
              </w:rPr>
            </w:pPr>
            <w:proofErr w:type="gramStart"/>
            <w:r w:rsidRPr="00EF0794">
              <w:rPr>
                <w:rFonts w:ascii="Times New Roman" w:hAnsi="Times New Roman" w:cs="Times New Roman"/>
                <w:sz w:val="21"/>
                <w:szCs w:val="22"/>
              </w:rPr>
              <w:t>自相应</w:t>
            </w:r>
            <w:proofErr w:type="gramEnd"/>
            <w:r w:rsidRPr="00EF0794">
              <w:rPr>
                <w:rFonts w:ascii="Times New Roman" w:hAnsi="Times New Roman" w:cs="Times New Roman"/>
                <w:sz w:val="21"/>
                <w:szCs w:val="22"/>
              </w:rPr>
              <w:t>部分股票期权授权之日起</w:t>
            </w:r>
            <w:r w:rsidRPr="00EF0794">
              <w:rPr>
                <w:rFonts w:ascii="Times New Roman" w:hAnsi="Times New Roman" w:cs="Times New Roman"/>
                <w:sz w:val="21"/>
                <w:szCs w:val="22"/>
              </w:rPr>
              <w:t>24</w:t>
            </w:r>
            <w:r w:rsidRPr="00EF0794">
              <w:rPr>
                <w:rFonts w:ascii="Times New Roman" w:hAnsi="Times New Roman" w:cs="Times New Roman"/>
                <w:sz w:val="21"/>
                <w:szCs w:val="22"/>
              </w:rPr>
              <w:t>个月后的首个交易日起</w:t>
            </w:r>
            <w:proofErr w:type="gramStart"/>
            <w:r w:rsidRPr="00EF0794">
              <w:rPr>
                <w:rFonts w:ascii="Times New Roman" w:hAnsi="Times New Roman" w:cs="Times New Roman"/>
                <w:sz w:val="21"/>
                <w:szCs w:val="22"/>
              </w:rPr>
              <w:t>至相应</w:t>
            </w:r>
            <w:proofErr w:type="gramEnd"/>
            <w:r w:rsidRPr="00EF0794">
              <w:rPr>
                <w:rFonts w:ascii="Times New Roman" w:hAnsi="Times New Roman" w:cs="Times New Roman"/>
                <w:sz w:val="21"/>
                <w:szCs w:val="22"/>
              </w:rPr>
              <w:t>部分股票期权授权之日起</w:t>
            </w:r>
            <w:r w:rsidRPr="00EF0794">
              <w:rPr>
                <w:rFonts w:ascii="Times New Roman" w:hAnsi="Times New Roman" w:cs="Times New Roman"/>
                <w:sz w:val="21"/>
                <w:szCs w:val="22"/>
              </w:rPr>
              <w:t>36</w:t>
            </w:r>
            <w:r w:rsidRPr="00EF0794">
              <w:rPr>
                <w:rFonts w:ascii="Times New Roman" w:hAnsi="Times New Roman" w:cs="Times New Roman"/>
                <w:sz w:val="21"/>
                <w:szCs w:val="22"/>
              </w:rPr>
              <w:t>个月内的最后一个交易日当日止</w:t>
            </w:r>
          </w:p>
        </w:tc>
        <w:tc>
          <w:tcPr>
            <w:tcW w:w="1691" w:type="dxa"/>
            <w:vAlign w:val="center"/>
          </w:tcPr>
          <w:p w14:paraId="33D121E5" w14:textId="77777777" w:rsidR="007632D5" w:rsidRPr="00EF0794" w:rsidRDefault="007632D5" w:rsidP="00AD5BCC">
            <w:pPr>
              <w:pStyle w:val="Default"/>
              <w:jc w:val="center"/>
              <w:rPr>
                <w:rFonts w:ascii="Times New Roman" w:hAnsi="Times New Roman" w:cs="Times New Roman"/>
                <w:sz w:val="21"/>
                <w:szCs w:val="22"/>
              </w:rPr>
            </w:pPr>
            <w:r w:rsidRPr="00EF0794">
              <w:rPr>
                <w:rFonts w:ascii="Times New Roman" w:hAnsi="Times New Roman" w:cs="Times New Roman"/>
                <w:sz w:val="21"/>
                <w:szCs w:val="22"/>
              </w:rPr>
              <w:t>30%</w:t>
            </w:r>
          </w:p>
        </w:tc>
      </w:tr>
      <w:tr w:rsidR="007632D5" w:rsidRPr="00EF0794" w14:paraId="74E45F87" w14:textId="77777777" w:rsidTr="002833A0">
        <w:trPr>
          <w:cantSplit/>
          <w:trHeight w:val="20"/>
          <w:jc w:val="center"/>
        </w:trPr>
        <w:tc>
          <w:tcPr>
            <w:tcW w:w="2962" w:type="dxa"/>
            <w:vAlign w:val="center"/>
          </w:tcPr>
          <w:p w14:paraId="2B28FA5C" w14:textId="77777777" w:rsidR="007632D5" w:rsidRPr="00EF0794" w:rsidRDefault="007632D5" w:rsidP="00AD5BCC">
            <w:pPr>
              <w:pStyle w:val="Default"/>
              <w:jc w:val="center"/>
              <w:rPr>
                <w:rFonts w:ascii="Times New Roman" w:hAnsi="Times New Roman" w:cs="Times New Roman"/>
                <w:sz w:val="21"/>
                <w:szCs w:val="22"/>
              </w:rPr>
            </w:pPr>
            <w:r w:rsidRPr="00EF0794">
              <w:rPr>
                <w:rFonts w:ascii="Times New Roman" w:hAnsi="Times New Roman" w:cs="Times New Roman"/>
                <w:sz w:val="21"/>
                <w:szCs w:val="22"/>
              </w:rPr>
              <w:t>首次授予部分及预留授予部分</w:t>
            </w:r>
          </w:p>
          <w:p w14:paraId="5E1975DC" w14:textId="77777777" w:rsidR="007632D5" w:rsidRPr="00EF0794" w:rsidRDefault="007632D5" w:rsidP="00AD5BCC">
            <w:pPr>
              <w:pStyle w:val="Default"/>
              <w:jc w:val="center"/>
              <w:rPr>
                <w:rFonts w:ascii="Times New Roman" w:hAnsi="Times New Roman" w:cs="Times New Roman"/>
                <w:sz w:val="21"/>
                <w:szCs w:val="22"/>
              </w:rPr>
            </w:pPr>
            <w:r w:rsidRPr="00EF0794">
              <w:rPr>
                <w:rFonts w:ascii="Times New Roman" w:hAnsi="Times New Roman" w:cs="Times New Roman"/>
                <w:sz w:val="21"/>
                <w:szCs w:val="22"/>
              </w:rPr>
              <w:t>第三个行权期</w:t>
            </w:r>
          </w:p>
        </w:tc>
        <w:tc>
          <w:tcPr>
            <w:tcW w:w="4031" w:type="dxa"/>
            <w:vAlign w:val="center"/>
          </w:tcPr>
          <w:p w14:paraId="11CB5BFB" w14:textId="77777777" w:rsidR="007632D5" w:rsidRPr="00EF0794" w:rsidRDefault="007632D5" w:rsidP="00AD5BCC">
            <w:pPr>
              <w:pStyle w:val="Default"/>
              <w:rPr>
                <w:rFonts w:ascii="Times New Roman" w:hAnsi="Times New Roman" w:cs="Times New Roman"/>
                <w:sz w:val="21"/>
                <w:szCs w:val="22"/>
              </w:rPr>
            </w:pPr>
            <w:proofErr w:type="gramStart"/>
            <w:r w:rsidRPr="00EF0794">
              <w:rPr>
                <w:rFonts w:ascii="Times New Roman" w:hAnsi="Times New Roman" w:cs="Times New Roman"/>
                <w:sz w:val="21"/>
                <w:szCs w:val="22"/>
              </w:rPr>
              <w:t>自相应</w:t>
            </w:r>
            <w:proofErr w:type="gramEnd"/>
            <w:r w:rsidRPr="00EF0794">
              <w:rPr>
                <w:rFonts w:ascii="Times New Roman" w:hAnsi="Times New Roman" w:cs="Times New Roman"/>
                <w:sz w:val="21"/>
                <w:szCs w:val="22"/>
              </w:rPr>
              <w:t>部分股票期权授权之日起</w:t>
            </w:r>
            <w:r w:rsidRPr="00EF0794">
              <w:rPr>
                <w:rFonts w:ascii="Times New Roman" w:hAnsi="Times New Roman" w:cs="Times New Roman"/>
                <w:sz w:val="21"/>
                <w:szCs w:val="22"/>
              </w:rPr>
              <w:t>36</w:t>
            </w:r>
            <w:r w:rsidRPr="00EF0794">
              <w:rPr>
                <w:rFonts w:ascii="Times New Roman" w:hAnsi="Times New Roman" w:cs="Times New Roman"/>
                <w:sz w:val="21"/>
                <w:szCs w:val="22"/>
              </w:rPr>
              <w:t>个月后的首个交易日起</w:t>
            </w:r>
            <w:proofErr w:type="gramStart"/>
            <w:r w:rsidRPr="00EF0794">
              <w:rPr>
                <w:rFonts w:ascii="Times New Roman" w:hAnsi="Times New Roman" w:cs="Times New Roman"/>
                <w:sz w:val="21"/>
                <w:szCs w:val="22"/>
              </w:rPr>
              <w:t>至相应</w:t>
            </w:r>
            <w:proofErr w:type="gramEnd"/>
            <w:r w:rsidRPr="00EF0794">
              <w:rPr>
                <w:rFonts w:ascii="Times New Roman" w:hAnsi="Times New Roman" w:cs="Times New Roman"/>
                <w:sz w:val="21"/>
                <w:szCs w:val="22"/>
              </w:rPr>
              <w:t>部分股票期权授权之日起</w:t>
            </w:r>
            <w:r w:rsidRPr="00EF0794">
              <w:rPr>
                <w:rFonts w:ascii="Times New Roman" w:hAnsi="Times New Roman" w:cs="Times New Roman"/>
                <w:sz w:val="21"/>
                <w:szCs w:val="22"/>
              </w:rPr>
              <w:t>48</w:t>
            </w:r>
            <w:r w:rsidRPr="00EF0794">
              <w:rPr>
                <w:rFonts w:ascii="Times New Roman" w:hAnsi="Times New Roman" w:cs="Times New Roman"/>
                <w:sz w:val="21"/>
                <w:szCs w:val="22"/>
              </w:rPr>
              <w:t>个月内的最后一个交易日当日止</w:t>
            </w:r>
          </w:p>
        </w:tc>
        <w:tc>
          <w:tcPr>
            <w:tcW w:w="1691" w:type="dxa"/>
            <w:vAlign w:val="center"/>
          </w:tcPr>
          <w:p w14:paraId="4194649B" w14:textId="77777777" w:rsidR="007632D5" w:rsidRPr="00EF0794" w:rsidRDefault="007632D5" w:rsidP="00AD5BCC">
            <w:pPr>
              <w:pStyle w:val="Default"/>
              <w:jc w:val="center"/>
              <w:rPr>
                <w:rFonts w:ascii="Times New Roman" w:hAnsi="Times New Roman" w:cs="Times New Roman"/>
                <w:sz w:val="21"/>
                <w:szCs w:val="22"/>
              </w:rPr>
            </w:pPr>
            <w:r w:rsidRPr="00EF0794">
              <w:rPr>
                <w:rFonts w:ascii="Times New Roman" w:hAnsi="Times New Roman" w:cs="Times New Roman"/>
                <w:sz w:val="21"/>
                <w:szCs w:val="22"/>
              </w:rPr>
              <w:t>50%</w:t>
            </w:r>
          </w:p>
        </w:tc>
      </w:tr>
    </w:tbl>
    <w:p w14:paraId="7831BA59" w14:textId="77777777" w:rsidR="007632D5" w:rsidRPr="00EF0794" w:rsidRDefault="007632D5" w:rsidP="007632D5">
      <w:pPr>
        <w:topLinePunct/>
        <w:spacing w:beforeLines="50" w:before="156" w:line="360" w:lineRule="auto"/>
        <w:ind w:firstLineChars="200" w:firstLine="480"/>
        <w:rPr>
          <w:color w:val="000000"/>
          <w:kern w:val="0"/>
          <w:sz w:val="24"/>
        </w:rPr>
      </w:pPr>
      <w:r w:rsidRPr="00EF0794">
        <w:rPr>
          <w:color w:val="000000"/>
          <w:kern w:val="0"/>
          <w:sz w:val="24"/>
        </w:rPr>
        <w:t>部分中层管理人员（含前述授予后分三期行权的部分中层管理人员）首次授予部分及预留授予部分的股票期权自授权之日起</w:t>
      </w:r>
      <w:r w:rsidRPr="00EF0794">
        <w:rPr>
          <w:color w:val="000000"/>
          <w:kern w:val="0"/>
          <w:sz w:val="24"/>
        </w:rPr>
        <w:t>12</w:t>
      </w:r>
      <w:r w:rsidRPr="00EF0794">
        <w:rPr>
          <w:color w:val="000000"/>
          <w:kern w:val="0"/>
          <w:sz w:val="24"/>
        </w:rPr>
        <w:t>个月后</w:t>
      </w:r>
      <w:proofErr w:type="gramStart"/>
      <w:r w:rsidRPr="00EF0794">
        <w:rPr>
          <w:color w:val="000000"/>
          <w:kern w:val="0"/>
          <w:sz w:val="24"/>
        </w:rPr>
        <w:t>分四期行权</w:t>
      </w:r>
      <w:proofErr w:type="gramEnd"/>
      <w:r w:rsidRPr="00EF0794">
        <w:rPr>
          <w:color w:val="000000"/>
          <w:kern w:val="0"/>
          <w:sz w:val="24"/>
        </w:rPr>
        <w:t>，具体行权安排如下表所示：</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2"/>
        <w:gridCol w:w="4031"/>
        <w:gridCol w:w="1691"/>
      </w:tblGrid>
      <w:tr w:rsidR="007632D5" w:rsidRPr="00EF0794" w14:paraId="2CC2F40A" w14:textId="77777777" w:rsidTr="00AD5BCC">
        <w:trPr>
          <w:trHeight w:val="567"/>
          <w:jc w:val="center"/>
        </w:trPr>
        <w:tc>
          <w:tcPr>
            <w:tcW w:w="2962" w:type="dxa"/>
            <w:shd w:val="clear" w:color="auto" w:fill="D8D8D8"/>
            <w:vAlign w:val="center"/>
          </w:tcPr>
          <w:p w14:paraId="26C6CF5C" w14:textId="77777777" w:rsidR="007632D5" w:rsidRPr="00EF0794" w:rsidRDefault="007632D5" w:rsidP="00AD5BCC">
            <w:pPr>
              <w:pStyle w:val="Default"/>
              <w:spacing w:line="276" w:lineRule="auto"/>
              <w:jc w:val="center"/>
              <w:rPr>
                <w:rFonts w:ascii="Times New Roman" w:hAnsi="Times New Roman" w:cs="Times New Roman"/>
                <w:b/>
                <w:bCs/>
                <w:sz w:val="21"/>
                <w:szCs w:val="21"/>
              </w:rPr>
            </w:pPr>
            <w:bookmarkStart w:id="4" w:name="_Hlk486333894"/>
            <w:r w:rsidRPr="00EF0794">
              <w:rPr>
                <w:rFonts w:ascii="Times New Roman" w:hAnsi="Times New Roman" w:cs="Times New Roman"/>
                <w:b/>
                <w:bCs/>
                <w:sz w:val="21"/>
                <w:szCs w:val="21"/>
              </w:rPr>
              <w:t>行权安排</w:t>
            </w:r>
          </w:p>
        </w:tc>
        <w:tc>
          <w:tcPr>
            <w:tcW w:w="4031" w:type="dxa"/>
            <w:shd w:val="clear" w:color="auto" w:fill="D8D8D8"/>
            <w:vAlign w:val="center"/>
          </w:tcPr>
          <w:p w14:paraId="340DCCF9" w14:textId="77777777" w:rsidR="007632D5" w:rsidRPr="00EF0794" w:rsidRDefault="007632D5" w:rsidP="00AD5BCC">
            <w:pPr>
              <w:pStyle w:val="Default"/>
              <w:spacing w:line="276" w:lineRule="auto"/>
              <w:jc w:val="center"/>
              <w:rPr>
                <w:rFonts w:ascii="Times New Roman" w:hAnsi="Times New Roman" w:cs="Times New Roman"/>
                <w:b/>
                <w:bCs/>
                <w:sz w:val="21"/>
                <w:szCs w:val="21"/>
              </w:rPr>
            </w:pPr>
            <w:r w:rsidRPr="00EF0794">
              <w:rPr>
                <w:rFonts w:ascii="Times New Roman" w:hAnsi="Times New Roman" w:cs="Times New Roman"/>
                <w:b/>
                <w:bCs/>
                <w:sz w:val="21"/>
                <w:szCs w:val="21"/>
              </w:rPr>
              <w:t>行权时间</w:t>
            </w:r>
          </w:p>
        </w:tc>
        <w:tc>
          <w:tcPr>
            <w:tcW w:w="1691" w:type="dxa"/>
            <w:shd w:val="clear" w:color="auto" w:fill="D8D8D8"/>
            <w:vAlign w:val="center"/>
          </w:tcPr>
          <w:p w14:paraId="107D2A0D" w14:textId="77777777" w:rsidR="007632D5" w:rsidRPr="00EF0794" w:rsidRDefault="007632D5" w:rsidP="00AD5BCC">
            <w:pPr>
              <w:pStyle w:val="Default"/>
              <w:spacing w:line="276" w:lineRule="auto"/>
              <w:jc w:val="center"/>
              <w:rPr>
                <w:rFonts w:ascii="Times New Roman" w:hAnsi="Times New Roman" w:cs="Times New Roman"/>
                <w:b/>
                <w:bCs/>
                <w:sz w:val="21"/>
                <w:szCs w:val="21"/>
              </w:rPr>
            </w:pPr>
            <w:r w:rsidRPr="00EF0794">
              <w:rPr>
                <w:rFonts w:ascii="Times New Roman" w:hAnsi="Times New Roman" w:cs="Times New Roman"/>
                <w:b/>
                <w:bCs/>
                <w:sz w:val="21"/>
                <w:szCs w:val="21"/>
              </w:rPr>
              <w:t>行权比例</w:t>
            </w:r>
          </w:p>
        </w:tc>
      </w:tr>
      <w:tr w:rsidR="007632D5" w:rsidRPr="00EF0794" w14:paraId="6519AB6F" w14:textId="77777777" w:rsidTr="00AD5BCC">
        <w:trPr>
          <w:trHeight w:val="20"/>
          <w:jc w:val="center"/>
        </w:trPr>
        <w:tc>
          <w:tcPr>
            <w:tcW w:w="2962" w:type="dxa"/>
            <w:vAlign w:val="center"/>
          </w:tcPr>
          <w:p w14:paraId="4E18E9C4" w14:textId="77777777" w:rsidR="007632D5" w:rsidRPr="00EF0794" w:rsidRDefault="007632D5" w:rsidP="00AD5BCC">
            <w:pPr>
              <w:pStyle w:val="Default"/>
              <w:jc w:val="center"/>
              <w:rPr>
                <w:rFonts w:ascii="Times New Roman" w:hAnsi="Times New Roman" w:cs="Times New Roman"/>
                <w:sz w:val="21"/>
                <w:szCs w:val="22"/>
              </w:rPr>
            </w:pPr>
            <w:r w:rsidRPr="00EF0794">
              <w:rPr>
                <w:rFonts w:ascii="Times New Roman" w:hAnsi="Times New Roman" w:cs="Times New Roman"/>
                <w:sz w:val="21"/>
                <w:szCs w:val="22"/>
              </w:rPr>
              <w:t>首次授予及预留授予部分</w:t>
            </w:r>
          </w:p>
          <w:p w14:paraId="2CCCDEA5" w14:textId="77777777" w:rsidR="007632D5" w:rsidRPr="00EF0794" w:rsidRDefault="007632D5" w:rsidP="00AD5BCC">
            <w:pPr>
              <w:pStyle w:val="Default"/>
              <w:jc w:val="center"/>
              <w:rPr>
                <w:rFonts w:ascii="Times New Roman" w:hAnsi="Times New Roman" w:cs="Times New Roman"/>
                <w:sz w:val="21"/>
                <w:szCs w:val="22"/>
              </w:rPr>
            </w:pPr>
            <w:r w:rsidRPr="00EF0794">
              <w:rPr>
                <w:rFonts w:ascii="Times New Roman" w:hAnsi="Times New Roman" w:cs="Times New Roman"/>
                <w:sz w:val="21"/>
                <w:szCs w:val="22"/>
              </w:rPr>
              <w:t>第一个行权期</w:t>
            </w:r>
          </w:p>
        </w:tc>
        <w:tc>
          <w:tcPr>
            <w:tcW w:w="4031" w:type="dxa"/>
            <w:vAlign w:val="center"/>
          </w:tcPr>
          <w:p w14:paraId="4A861CA2" w14:textId="77777777" w:rsidR="007632D5" w:rsidRPr="00EF0794" w:rsidRDefault="007632D5" w:rsidP="00AD5BCC">
            <w:pPr>
              <w:pStyle w:val="Default"/>
              <w:rPr>
                <w:rFonts w:ascii="Times New Roman" w:hAnsi="Times New Roman" w:cs="Times New Roman"/>
                <w:sz w:val="21"/>
                <w:szCs w:val="22"/>
              </w:rPr>
            </w:pPr>
            <w:proofErr w:type="gramStart"/>
            <w:r w:rsidRPr="00EF0794">
              <w:rPr>
                <w:rFonts w:ascii="Times New Roman" w:hAnsi="Times New Roman" w:cs="Times New Roman"/>
                <w:sz w:val="21"/>
                <w:szCs w:val="22"/>
              </w:rPr>
              <w:t>自相应</w:t>
            </w:r>
            <w:proofErr w:type="gramEnd"/>
            <w:r w:rsidRPr="00EF0794">
              <w:rPr>
                <w:rFonts w:ascii="Times New Roman" w:hAnsi="Times New Roman" w:cs="Times New Roman"/>
                <w:sz w:val="21"/>
                <w:szCs w:val="22"/>
              </w:rPr>
              <w:t>部分股票期权授权之日起</w:t>
            </w:r>
            <w:r w:rsidRPr="00EF0794">
              <w:rPr>
                <w:rFonts w:ascii="Times New Roman" w:hAnsi="Times New Roman" w:cs="Times New Roman"/>
                <w:sz w:val="21"/>
                <w:szCs w:val="22"/>
              </w:rPr>
              <w:t>12</w:t>
            </w:r>
            <w:r w:rsidRPr="00EF0794">
              <w:rPr>
                <w:rFonts w:ascii="Times New Roman" w:hAnsi="Times New Roman" w:cs="Times New Roman"/>
                <w:sz w:val="21"/>
                <w:szCs w:val="22"/>
              </w:rPr>
              <w:t>个月后的首个交易日起</w:t>
            </w:r>
            <w:proofErr w:type="gramStart"/>
            <w:r w:rsidRPr="00EF0794">
              <w:rPr>
                <w:rFonts w:ascii="Times New Roman" w:hAnsi="Times New Roman" w:cs="Times New Roman"/>
                <w:sz w:val="21"/>
                <w:szCs w:val="22"/>
              </w:rPr>
              <w:t>至相应</w:t>
            </w:r>
            <w:proofErr w:type="gramEnd"/>
            <w:r w:rsidRPr="00EF0794">
              <w:rPr>
                <w:rFonts w:ascii="Times New Roman" w:hAnsi="Times New Roman" w:cs="Times New Roman"/>
                <w:sz w:val="21"/>
                <w:szCs w:val="22"/>
              </w:rPr>
              <w:t>部分股票期权授权之日起</w:t>
            </w:r>
            <w:r w:rsidRPr="00EF0794">
              <w:rPr>
                <w:rFonts w:ascii="Times New Roman" w:hAnsi="Times New Roman" w:cs="Times New Roman"/>
                <w:sz w:val="21"/>
                <w:szCs w:val="22"/>
              </w:rPr>
              <w:t>24</w:t>
            </w:r>
            <w:r w:rsidRPr="00EF0794">
              <w:rPr>
                <w:rFonts w:ascii="Times New Roman" w:hAnsi="Times New Roman" w:cs="Times New Roman"/>
                <w:sz w:val="21"/>
                <w:szCs w:val="22"/>
              </w:rPr>
              <w:t>个月内的最后一个交易日当日止</w:t>
            </w:r>
          </w:p>
        </w:tc>
        <w:tc>
          <w:tcPr>
            <w:tcW w:w="1691" w:type="dxa"/>
            <w:vAlign w:val="center"/>
          </w:tcPr>
          <w:p w14:paraId="160551A4" w14:textId="77777777" w:rsidR="007632D5" w:rsidRPr="00EF0794" w:rsidRDefault="007632D5" w:rsidP="00AD5BCC">
            <w:pPr>
              <w:pStyle w:val="Default"/>
              <w:jc w:val="center"/>
              <w:rPr>
                <w:rFonts w:ascii="Times New Roman" w:hAnsi="Times New Roman" w:cs="Times New Roman"/>
                <w:sz w:val="21"/>
                <w:szCs w:val="22"/>
              </w:rPr>
            </w:pPr>
            <w:r w:rsidRPr="00EF0794">
              <w:rPr>
                <w:rFonts w:ascii="Times New Roman" w:hAnsi="Times New Roman" w:cs="Times New Roman"/>
                <w:sz w:val="21"/>
                <w:szCs w:val="22"/>
              </w:rPr>
              <w:t>20%</w:t>
            </w:r>
          </w:p>
        </w:tc>
      </w:tr>
      <w:tr w:rsidR="007632D5" w:rsidRPr="00EF0794" w14:paraId="3FF5DFBA" w14:textId="77777777" w:rsidTr="00AD5BCC">
        <w:trPr>
          <w:trHeight w:val="20"/>
          <w:jc w:val="center"/>
        </w:trPr>
        <w:tc>
          <w:tcPr>
            <w:tcW w:w="2962" w:type="dxa"/>
            <w:vAlign w:val="center"/>
          </w:tcPr>
          <w:p w14:paraId="24D2BDA2" w14:textId="77777777" w:rsidR="007632D5" w:rsidRPr="00EF0794" w:rsidRDefault="007632D5" w:rsidP="00AD5BCC">
            <w:pPr>
              <w:pStyle w:val="Default"/>
              <w:jc w:val="center"/>
              <w:rPr>
                <w:rFonts w:ascii="Times New Roman" w:hAnsi="Times New Roman" w:cs="Times New Roman"/>
                <w:sz w:val="21"/>
                <w:szCs w:val="22"/>
              </w:rPr>
            </w:pPr>
            <w:r w:rsidRPr="00EF0794">
              <w:rPr>
                <w:rFonts w:ascii="Times New Roman" w:hAnsi="Times New Roman" w:cs="Times New Roman"/>
                <w:sz w:val="21"/>
                <w:szCs w:val="22"/>
              </w:rPr>
              <w:t>首次授予及预留授予部分</w:t>
            </w:r>
          </w:p>
          <w:p w14:paraId="43C1B071" w14:textId="77777777" w:rsidR="007632D5" w:rsidRPr="00EF0794" w:rsidRDefault="007632D5" w:rsidP="00AD5BCC">
            <w:pPr>
              <w:pStyle w:val="Default"/>
              <w:jc w:val="center"/>
              <w:rPr>
                <w:rFonts w:ascii="Times New Roman" w:hAnsi="Times New Roman" w:cs="Times New Roman"/>
                <w:sz w:val="21"/>
                <w:szCs w:val="22"/>
              </w:rPr>
            </w:pPr>
            <w:r w:rsidRPr="00EF0794">
              <w:rPr>
                <w:rFonts w:ascii="Times New Roman" w:hAnsi="Times New Roman" w:cs="Times New Roman"/>
                <w:sz w:val="21"/>
                <w:szCs w:val="22"/>
              </w:rPr>
              <w:t>第二个行权期</w:t>
            </w:r>
          </w:p>
        </w:tc>
        <w:tc>
          <w:tcPr>
            <w:tcW w:w="4031" w:type="dxa"/>
            <w:vAlign w:val="center"/>
          </w:tcPr>
          <w:p w14:paraId="789AA88D" w14:textId="77777777" w:rsidR="007632D5" w:rsidRPr="00EF0794" w:rsidRDefault="007632D5" w:rsidP="00AD5BCC">
            <w:pPr>
              <w:pStyle w:val="Default"/>
              <w:rPr>
                <w:rFonts w:ascii="Times New Roman" w:hAnsi="Times New Roman" w:cs="Times New Roman"/>
                <w:sz w:val="21"/>
                <w:szCs w:val="22"/>
              </w:rPr>
            </w:pPr>
            <w:proofErr w:type="gramStart"/>
            <w:r w:rsidRPr="00EF0794">
              <w:rPr>
                <w:rFonts w:ascii="Times New Roman" w:hAnsi="Times New Roman" w:cs="Times New Roman"/>
                <w:sz w:val="21"/>
                <w:szCs w:val="22"/>
              </w:rPr>
              <w:t>自相应</w:t>
            </w:r>
            <w:proofErr w:type="gramEnd"/>
            <w:r w:rsidRPr="00EF0794">
              <w:rPr>
                <w:rFonts w:ascii="Times New Roman" w:hAnsi="Times New Roman" w:cs="Times New Roman"/>
                <w:sz w:val="21"/>
                <w:szCs w:val="22"/>
              </w:rPr>
              <w:t>部分股票期权授权之日起</w:t>
            </w:r>
            <w:r w:rsidRPr="00EF0794">
              <w:rPr>
                <w:rFonts w:ascii="Times New Roman" w:hAnsi="Times New Roman" w:cs="Times New Roman"/>
                <w:sz w:val="21"/>
                <w:szCs w:val="22"/>
              </w:rPr>
              <w:t>24</w:t>
            </w:r>
            <w:r w:rsidRPr="00EF0794">
              <w:rPr>
                <w:rFonts w:ascii="Times New Roman" w:hAnsi="Times New Roman" w:cs="Times New Roman"/>
                <w:sz w:val="21"/>
                <w:szCs w:val="22"/>
              </w:rPr>
              <w:t>个月后的首个交易日起</w:t>
            </w:r>
            <w:proofErr w:type="gramStart"/>
            <w:r w:rsidRPr="00EF0794">
              <w:rPr>
                <w:rFonts w:ascii="Times New Roman" w:hAnsi="Times New Roman" w:cs="Times New Roman"/>
                <w:sz w:val="21"/>
                <w:szCs w:val="22"/>
              </w:rPr>
              <w:t>至相应</w:t>
            </w:r>
            <w:proofErr w:type="gramEnd"/>
            <w:r w:rsidRPr="00EF0794">
              <w:rPr>
                <w:rFonts w:ascii="Times New Roman" w:hAnsi="Times New Roman" w:cs="Times New Roman"/>
                <w:sz w:val="21"/>
                <w:szCs w:val="22"/>
              </w:rPr>
              <w:t>部分股票期权授权之日起</w:t>
            </w:r>
            <w:r w:rsidRPr="00EF0794">
              <w:rPr>
                <w:rFonts w:ascii="Times New Roman" w:hAnsi="Times New Roman" w:cs="Times New Roman"/>
                <w:sz w:val="21"/>
                <w:szCs w:val="22"/>
              </w:rPr>
              <w:t>36</w:t>
            </w:r>
            <w:r w:rsidRPr="00EF0794">
              <w:rPr>
                <w:rFonts w:ascii="Times New Roman" w:hAnsi="Times New Roman" w:cs="Times New Roman"/>
                <w:sz w:val="21"/>
                <w:szCs w:val="22"/>
              </w:rPr>
              <w:t>个月内的最后一个交易日当日止</w:t>
            </w:r>
          </w:p>
        </w:tc>
        <w:tc>
          <w:tcPr>
            <w:tcW w:w="1691" w:type="dxa"/>
            <w:vAlign w:val="center"/>
          </w:tcPr>
          <w:p w14:paraId="604130B1" w14:textId="77777777" w:rsidR="007632D5" w:rsidRPr="00EF0794" w:rsidRDefault="007632D5" w:rsidP="00AD5BCC">
            <w:pPr>
              <w:pStyle w:val="Default"/>
              <w:jc w:val="center"/>
              <w:rPr>
                <w:rFonts w:ascii="Times New Roman" w:hAnsi="Times New Roman" w:cs="Times New Roman"/>
                <w:sz w:val="21"/>
                <w:szCs w:val="22"/>
              </w:rPr>
            </w:pPr>
            <w:r w:rsidRPr="00EF0794">
              <w:rPr>
                <w:rFonts w:ascii="Times New Roman" w:hAnsi="Times New Roman" w:cs="Times New Roman"/>
                <w:sz w:val="21"/>
                <w:szCs w:val="22"/>
              </w:rPr>
              <w:t>25%</w:t>
            </w:r>
          </w:p>
        </w:tc>
      </w:tr>
      <w:tr w:rsidR="007632D5" w:rsidRPr="00EF0794" w14:paraId="085672E0" w14:textId="77777777" w:rsidTr="00AD5BCC">
        <w:trPr>
          <w:trHeight w:val="20"/>
          <w:jc w:val="center"/>
        </w:trPr>
        <w:tc>
          <w:tcPr>
            <w:tcW w:w="2962" w:type="dxa"/>
            <w:vAlign w:val="center"/>
          </w:tcPr>
          <w:p w14:paraId="5694ABD9" w14:textId="77777777" w:rsidR="007632D5" w:rsidRPr="00EF0794" w:rsidRDefault="007632D5" w:rsidP="00AD5BCC">
            <w:pPr>
              <w:pStyle w:val="Default"/>
              <w:jc w:val="center"/>
              <w:rPr>
                <w:rFonts w:ascii="Times New Roman" w:hAnsi="Times New Roman" w:cs="Times New Roman"/>
                <w:sz w:val="21"/>
                <w:szCs w:val="22"/>
              </w:rPr>
            </w:pPr>
            <w:r w:rsidRPr="00EF0794">
              <w:rPr>
                <w:rFonts w:ascii="Times New Roman" w:hAnsi="Times New Roman" w:cs="Times New Roman"/>
                <w:sz w:val="21"/>
                <w:szCs w:val="22"/>
              </w:rPr>
              <w:t>首次授予及预留授予部分</w:t>
            </w:r>
          </w:p>
          <w:p w14:paraId="20919666" w14:textId="77777777" w:rsidR="007632D5" w:rsidRPr="00EF0794" w:rsidRDefault="007632D5" w:rsidP="00AD5BCC">
            <w:pPr>
              <w:pStyle w:val="Default"/>
              <w:jc w:val="center"/>
              <w:rPr>
                <w:rFonts w:ascii="Times New Roman" w:hAnsi="Times New Roman" w:cs="Times New Roman"/>
                <w:sz w:val="21"/>
                <w:szCs w:val="22"/>
              </w:rPr>
            </w:pPr>
            <w:r w:rsidRPr="00EF0794">
              <w:rPr>
                <w:rFonts w:ascii="Times New Roman" w:hAnsi="Times New Roman" w:cs="Times New Roman"/>
                <w:sz w:val="21"/>
                <w:szCs w:val="22"/>
              </w:rPr>
              <w:t>第三个行权期</w:t>
            </w:r>
          </w:p>
        </w:tc>
        <w:tc>
          <w:tcPr>
            <w:tcW w:w="4031" w:type="dxa"/>
            <w:vAlign w:val="center"/>
          </w:tcPr>
          <w:p w14:paraId="0C43967B" w14:textId="77777777" w:rsidR="007632D5" w:rsidRPr="00EF0794" w:rsidRDefault="007632D5" w:rsidP="00AD5BCC">
            <w:pPr>
              <w:pStyle w:val="Default"/>
              <w:rPr>
                <w:rFonts w:ascii="Times New Roman" w:hAnsi="Times New Roman" w:cs="Times New Roman"/>
                <w:sz w:val="21"/>
                <w:szCs w:val="22"/>
              </w:rPr>
            </w:pPr>
            <w:proofErr w:type="gramStart"/>
            <w:r w:rsidRPr="00EF0794">
              <w:rPr>
                <w:rFonts w:ascii="Times New Roman" w:hAnsi="Times New Roman" w:cs="Times New Roman"/>
                <w:sz w:val="21"/>
                <w:szCs w:val="22"/>
              </w:rPr>
              <w:t>自相应</w:t>
            </w:r>
            <w:proofErr w:type="gramEnd"/>
            <w:r w:rsidRPr="00EF0794">
              <w:rPr>
                <w:rFonts w:ascii="Times New Roman" w:hAnsi="Times New Roman" w:cs="Times New Roman"/>
                <w:sz w:val="21"/>
                <w:szCs w:val="22"/>
              </w:rPr>
              <w:t>部分股票期权授权之日起</w:t>
            </w:r>
            <w:r w:rsidRPr="00EF0794">
              <w:rPr>
                <w:rFonts w:ascii="Times New Roman" w:hAnsi="Times New Roman" w:cs="Times New Roman"/>
                <w:sz w:val="21"/>
                <w:szCs w:val="22"/>
              </w:rPr>
              <w:t>36</w:t>
            </w:r>
            <w:r w:rsidRPr="00EF0794">
              <w:rPr>
                <w:rFonts w:ascii="Times New Roman" w:hAnsi="Times New Roman" w:cs="Times New Roman"/>
                <w:sz w:val="21"/>
                <w:szCs w:val="22"/>
              </w:rPr>
              <w:t>个月后的首个交易日起</w:t>
            </w:r>
            <w:proofErr w:type="gramStart"/>
            <w:r w:rsidRPr="00EF0794">
              <w:rPr>
                <w:rFonts w:ascii="Times New Roman" w:hAnsi="Times New Roman" w:cs="Times New Roman"/>
                <w:sz w:val="21"/>
                <w:szCs w:val="22"/>
              </w:rPr>
              <w:t>至相应</w:t>
            </w:r>
            <w:proofErr w:type="gramEnd"/>
            <w:r w:rsidRPr="00EF0794">
              <w:rPr>
                <w:rFonts w:ascii="Times New Roman" w:hAnsi="Times New Roman" w:cs="Times New Roman"/>
                <w:sz w:val="21"/>
                <w:szCs w:val="22"/>
              </w:rPr>
              <w:t>部分股票期权授权之日起</w:t>
            </w:r>
            <w:r w:rsidRPr="00EF0794">
              <w:rPr>
                <w:rFonts w:ascii="Times New Roman" w:hAnsi="Times New Roman" w:cs="Times New Roman"/>
                <w:sz w:val="21"/>
                <w:szCs w:val="22"/>
              </w:rPr>
              <w:t>48</w:t>
            </w:r>
            <w:r w:rsidRPr="00EF0794">
              <w:rPr>
                <w:rFonts w:ascii="Times New Roman" w:hAnsi="Times New Roman" w:cs="Times New Roman"/>
                <w:sz w:val="21"/>
                <w:szCs w:val="22"/>
              </w:rPr>
              <w:t>个月内的最后一个交易日当日止</w:t>
            </w:r>
          </w:p>
        </w:tc>
        <w:tc>
          <w:tcPr>
            <w:tcW w:w="1691" w:type="dxa"/>
            <w:vAlign w:val="center"/>
          </w:tcPr>
          <w:p w14:paraId="17F0B4D8" w14:textId="77777777" w:rsidR="007632D5" w:rsidRPr="00EF0794" w:rsidRDefault="007632D5" w:rsidP="00AD5BCC">
            <w:pPr>
              <w:pStyle w:val="Default"/>
              <w:jc w:val="center"/>
              <w:rPr>
                <w:rFonts w:ascii="Times New Roman" w:hAnsi="Times New Roman" w:cs="Times New Roman"/>
                <w:sz w:val="21"/>
                <w:szCs w:val="22"/>
              </w:rPr>
            </w:pPr>
            <w:r w:rsidRPr="00EF0794">
              <w:rPr>
                <w:rFonts w:ascii="Times New Roman" w:hAnsi="Times New Roman" w:cs="Times New Roman"/>
                <w:sz w:val="21"/>
                <w:szCs w:val="22"/>
              </w:rPr>
              <w:t>25%</w:t>
            </w:r>
          </w:p>
        </w:tc>
      </w:tr>
      <w:tr w:rsidR="007632D5" w:rsidRPr="00EF0794" w14:paraId="182026E2" w14:textId="77777777" w:rsidTr="00AD5BCC">
        <w:trPr>
          <w:trHeight w:val="20"/>
          <w:jc w:val="center"/>
        </w:trPr>
        <w:tc>
          <w:tcPr>
            <w:tcW w:w="2962" w:type="dxa"/>
            <w:vAlign w:val="center"/>
          </w:tcPr>
          <w:p w14:paraId="7781BBE3" w14:textId="77777777" w:rsidR="007632D5" w:rsidRPr="00EF0794" w:rsidRDefault="007632D5" w:rsidP="00AD5BCC">
            <w:pPr>
              <w:pStyle w:val="Default"/>
              <w:jc w:val="center"/>
              <w:rPr>
                <w:rFonts w:ascii="Times New Roman" w:hAnsi="Times New Roman" w:cs="Times New Roman"/>
                <w:sz w:val="21"/>
                <w:szCs w:val="22"/>
              </w:rPr>
            </w:pPr>
            <w:r w:rsidRPr="00EF0794">
              <w:rPr>
                <w:rFonts w:ascii="Times New Roman" w:hAnsi="Times New Roman" w:cs="Times New Roman"/>
                <w:sz w:val="21"/>
                <w:szCs w:val="22"/>
              </w:rPr>
              <w:t>首次授予及预留授予部分</w:t>
            </w:r>
          </w:p>
          <w:p w14:paraId="4711DC5D" w14:textId="77777777" w:rsidR="007632D5" w:rsidRPr="00EF0794" w:rsidRDefault="007632D5" w:rsidP="00AD5BCC">
            <w:pPr>
              <w:pStyle w:val="Default"/>
              <w:jc w:val="center"/>
              <w:rPr>
                <w:rFonts w:ascii="Times New Roman" w:hAnsi="Times New Roman" w:cs="Times New Roman"/>
                <w:sz w:val="21"/>
                <w:szCs w:val="22"/>
              </w:rPr>
            </w:pPr>
            <w:r w:rsidRPr="00EF0794">
              <w:rPr>
                <w:rFonts w:ascii="Times New Roman" w:hAnsi="Times New Roman" w:cs="Times New Roman"/>
                <w:sz w:val="21"/>
                <w:szCs w:val="22"/>
              </w:rPr>
              <w:t>第四个行权期</w:t>
            </w:r>
          </w:p>
        </w:tc>
        <w:tc>
          <w:tcPr>
            <w:tcW w:w="4031" w:type="dxa"/>
            <w:vAlign w:val="center"/>
          </w:tcPr>
          <w:p w14:paraId="133FC104" w14:textId="77777777" w:rsidR="007632D5" w:rsidRPr="00EF0794" w:rsidRDefault="007632D5" w:rsidP="00AD5BCC">
            <w:pPr>
              <w:pStyle w:val="Default"/>
              <w:rPr>
                <w:rFonts w:ascii="Times New Roman" w:hAnsi="Times New Roman" w:cs="Times New Roman"/>
                <w:sz w:val="21"/>
                <w:szCs w:val="22"/>
              </w:rPr>
            </w:pPr>
            <w:proofErr w:type="gramStart"/>
            <w:r w:rsidRPr="00EF0794">
              <w:rPr>
                <w:rFonts w:ascii="Times New Roman" w:hAnsi="Times New Roman" w:cs="Times New Roman"/>
                <w:sz w:val="21"/>
                <w:szCs w:val="22"/>
              </w:rPr>
              <w:t>自相应</w:t>
            </w:r>
            <w:proofErr w:type="gramEnd"/>
            <w:r w:rsidRPr="00EF0794">
              <w:rPr>
                <w:rFonts w:ascii="Times New Roman" w:hAnsi="Times New Roman" w:cs="Times New Roman"/>
                <w:sz w:val="21"/>
                <w:szCs w:val="22"/>
              </w:rPr>
              <w:t>部分股票期权授权之日起</w:t>
            </w:r>
            <w:r w:rsidRPr="00EF0794">
              <w:rPr>
                <w:rFonts w:ascii="Times New Roman" w:hAnsi="Times New Roman" w:cs="Times New Roman"/>
                <w:sz w:val="21"/>
                <w:szCs w:val="22"/>
              </w:rPr>
              <w:t>48</w:t>
            </w:r>
            <w:r w:rsidRPr="00EF0794">
              <w:rPr>
                <w:rFonts w:ascii="Times New Roman" w:hAnsi="Times New Roman" w:cs="Times New Roman"/>
                <w:sz w:val="21"/>
                <w:szCs w:val="22"/>
              </w:rPr>
              <w:t>个月后的首个交易日起</w:t>
            </w:r>
            <w:proofErr w:type="gramStart"/>
            <w:r w:rsidRPr="00EF0794">
              <w:rPr>
                <w:rFonts w:ascii="Times New Roman" w:hAnsi="Times New Roman" w:cs="Times New Roman"/>
                <w:sz w:val="21"/>
                <w:szCs w:val="22"/>
              </w:rPr>
              <w:t>至相应</w:t>
            </w:r>
            <w:proofErr w:type="gramEnd"/>
            <w:r w:rsidRPr="00EF0794">
              <w:rPr>
                <w:rFonts w:ascii="Times New Roman" w:hAnsi="Times New Roman" w:cs="Times New Roman"/>
                <w:sz w:val="21"/>
                <w:szCs w:val="22"/>
              </w:rPr>
              <w:t>部分股票期权授权之日起</w:t>
            </w:r>
            <w:r w:rsidRPr="00EF0794">
              <w:rPr>
                <w:rFonts w:ascii="Times New Roman" w:hAnsi="Times New Roman" w:cs="Times New Roman"/>
                <w:sz w:val="21"/>
                <w:szCs w:val="22"/>
              </w:rPr>
              <w:t>60</w:t>
            </w:r>
            <w:r w:rsidRPr="00EF0794">
              <w:rPr>
                <w:rFonts w:ascii="Times New Roman" w:hAnsi="Times New Roman" w:cs="Times New Roman"/>
                <w:sz w:val="21"/>
                <w:szCs w:val="22"/>
              </w:rPr>
              <w:t>个月内的最后一个交易日当日止</w:t>
            </w:r>
          </w:p>
        </w:tc>
        <w:tc>
          <w:tcPr>
            <w:tcW w:w="1691" w:type="dxa"/>
            <w:vAlign w:val="center"/>
          </w:tcPr>
          <w:p w14:paraId="0FDC7924" w14:textId="77777777" w:rsidR="007632D5" w:rsidRPr="00EF0794" w:rsidRDefault="007632D5" w:rsidP="00AD5BCC">
            <w:pPr>
              <w:pStyle w:val="Default"/>
              <w:jc w:val="center"/>
              <w:rPr>
                <w:rFonts w:ascii="Times New Roman" w:hAnsi="Times New Roman" w:cs="Times New Roman"/>
                <w:sz w:val="21"/>
                <w:szCs w:val="22"/>
              </w:rPr>
            </w:pPr>
            <w:r w:rsidRPr="00EF0794">
              <w:rPr>
                <w:rFonts w:ascii="Times New Roman" w:hAnsi="Times New Roman" w:cs="Times New Roman"/>
                <w:sz w:val="21"/>
                <w:szCs w:val="22"/>
              </w:rPr>
              <w:t>30%</w:t>
            </w:r>
          </w:p>
        </w:tc>
      </w:tr>
    </w:tbl>
    <w:bookmarkEnd w:id="4"/>
    <w:p w14:paraId="2480668C" w14:textId="77777777" w:rsidR="007632D5" w:rsidRPr="00EF0794" w:rsidRDefault="007632D5" w:rsidP="007632D5">
      <w:pPr>
        <w:topLinePunct/>
        <w:spacing w:beforeLines="50" w:before="156" w:line="360" w:lineRule="auto"/>
        <w:ind w:firstLineChars="200" w:firstLine="480"/>
        <w:rPr>
          <w:color w:val="000000"/>
          <w:kern w:val="0"/>
          <w:sz w:val="24"/>
        </w:rPr>
      </w:pPr>
      <w:r w:rsidRPr="00EF0794">
        <w:rPr>
          <w:color w:val="000000"/>
          <w:kern w:val="0"/>
          <w:sz w:val="24"/>
        </w:rPr>
        <w:t>在上述约定期间内未行权的股票期权或因未达到行权条件而不能申请行权的该期股票期权，不得行权或递延至下期行权，由公司注销。</w:t>
      </w:r>
    </w:p>
    <w:p w14:paraId="7F106FD5" w14:textId="6E2E6635" w:rsidR="007632D5" w:rsidRPr="00EF0794" w:rsidRDefault="007632D5" w:rsidP="007632D5">
      <w:pPr>
        <w:autoSpaceDE w:val="0"/>
        <w:autoSpaceDN w:val="0"/>
        <w:spacing w:beforeLines="50" w:before="156" w:line="360" w:lineRule="auto"/>
        <w:ind w:firstLineChars="200" w:firstLine="480"/>
        <w:rPr>
          <w:sz w:val="24"/>
        </w:rPr>
      </w:pPr>
      <w:r w:rsidRPr="00EF0794">
        <w:rPr>
          <w:sz w:val="24"/>
        </w:rPr>
        <w:lastRenderedPageBreak/>
        <w:t>7</w:t>
      </w:r>
      <w:r w:rsidRPr="00EF0794">
        <w:rPr>
          <w:sz w:val="24"/>
        </w:rPr>
        <w:t>、行权条件：详见本公告</w:t>
      </w:r>
      <w:r w:rsidRPr="00EF0794">
        <w:rPr>
          <w:sz w:val="24"/>
        </w:rPr>
        <w:t>“</w:t>
      </w:r>
      <w:r w:rsidRPr="00EF0794">
        <w:rPr>
          <w:sz w:val="24"/>
        </w:rPr>
        <w:t>二、</w:t>
      </w:r>
      <w:r w:rsidR="000E2F80" w:rsidRPr="00EF0794">
        <w:rPr>
          <w:sz w:val="24"/>
        </w:rPr>
        <w:t>公司</w:t>
      </w:r>
      <w:r w:rsidR="000E2F80" w:rsidRPr="00EF0794">
        <w:rPr>
          <w:sz w:val="24"/>
        </w:rPr>
        <w:t>2021</w:t>
      </w:r>
      <w:r w:rsidR="000E2F80" w:rsidRPr="00EF0794">
        <w:rPr>
          <w:sz w:val="24"/>
        </w:rPr>
        <w:t>年激励计划第一个行权期行权条件成就的说明</w:t>
      </w:r>
      <w:r w:rsidRPr="00EF0794">
        <w:rPr>
          <w:sz w:val="24"/>
        </w:rPr>
        <w:t>”</w:t>
      </w:r>
      <w:r w:rsidRPr="00EF0794">
        <w:rPr>
          <w:sz w:val="24"/>
        </w:rPr>
        <w:t>。</w:t>
      </w:r>
    </w:p>
    <w:p w14:paraId="63ED84CE" w14:textId="77777777" w:rsidR="0076233B" w:rsidRPr="00EF0794" w:rsidRDefault="0076233B" w:rsidP="0076233B">
      <w:pPr>
        <w:autoSpaceDE w:val="0"/>
        <w:autoSpaceDN w:val="0"/>
        <w:adjustRightInd w:val="0"/>
        <w:spacing w:beforeLines="50" w:before="156" w:line="360" w:lineRule="auto"/>
        <w:ind w:firstLineChars="200" w:firstLine="482"/>
        <w:rPr>
          <w:b/>
          <w:kern w:val="0"/>
          <w:sz w:val="24"/>
        </w:rPr>
      </w:pPr>
      <w:r w:rsidRPr="00EF0794">
        <w:rPr>
          <w:b/>
          <w:kern w:val="0"/>
          <w:sz w:val="24"/>
        </w:rPr>
        <w:t>（二）已履行的相关审批程序</w:t>
      </w:r>
    </w:p>
    <w:p w14:paraId="2A0CAF60" w14:textId="77777777" w:rsidR="0076233B" w:rsidRPr="00EF0794" w:rsidRDefault="0076233B" w:rsidP="0076233B">
      <w:pPr>
        <w:spacing w:beforeLines="50" w:before="156" w:afterLines="50" w:after="156" w:line="360" w:lineRule="auto"/>
        <w:ind w:firstLineChars="200" w:firstLine="480"/>
        <w:rPr>
          <w:kern w:val="0"/>
          <w:sz w:val="24"/>
        </w:rPr>
      </w:pPr>
      <w:bookmarkStart w:id="5" w:name="_Hlk86940177"/>
      <w:r w:rsidRPr="00EF0794">
        <w:rPr>
          <w:kern w:val="0"/>
          <w:sz w:val="24"/>
        </w:rPr>
        <w:t>1</w:t>
      </w:r>
      <w:r w:rsidRPr="00EF0794">
        <w:rPr>
          <w:kern w:val="0"/>
          <w:sz w:val="24"/>
        </w:rPr>
        <w:t>、</w:t>
      </w:r>
      <w:r w:rsidRPr="00EF0794">
        <w:rPr>
          <w:kern w:val="0"/>
          <w:sz w:val="24"/>
        </w:rPr>
        <w:t>2021</w:t>
      </w:r>
      <w:r w:rsidRPr="00EF0794">
        <w:rPr>
          <w:kern w:val="0"/>
          <w:sz w:val="24"/>
        </w:rPr>
        <w:t>年</w:t>
      </w:r>
      <w:r w:rsidRPr="00EF0794">
        <w:rPr>
          <w:kern w:val="0"/>
          <w:sz w:val="24"/>
        </w:rPr>
        <w:t>10</w:t>
      </w:r>
      <w:r w:rsidRPr="00EF0794">
        <w:rPr>
          <w:kern w:val="0"/>
          <w:sz w:val="24"/>
        </w:rPr>
        <w:t>月</w:t>
      </w:r>
      <w:r w:rsidRPr="00EF0794">
        <w:rPr>
          <w:kern w:val="0"/>
          <w:sz w:val="24"/>
        </w:rPr>
        <w:t>26</w:t>
      </w:r>
      <w:r w:rsidRPr="00EF0794">
        <w:rPr>
          <w:kern w:val="0"/>
          <w:sz w:val="24"/>
        </w:rPr>
        <w:t>日，公司召开第二届董事会第三十六次会议，审议通过了《关于公司</w:t>
      </w:r>
      <w:r w:rsidRPr="00EF0794">
        <w:rPr>
          <w:kern w:val="0"/>
          <w:sz w:val="24"/>
        </w:rPr>
        <w:t>&lt;2021</w:t>
      </w:r>
      <w:r w:rsidRPr="00EF0794">
        <w:rPr>
          <w:kern w:val="0"/>
          <w:sz w:val="24"/>
        </w:rPr>
        <w:t>年股票期权与限制性股票激励计划（草案）</w:t>
      </w:r>
      <w:r w:rsidRPr="00EF0794">
        <w:rPr>
          <w:kern w:val="0"/>
          <w:sz w:val="24"/>
        </w:rPr>
        <w:t>&gt;</w:t>
      </w:r>
      <w:r w:rsidRPr="00EF0794">
        <w:rPr>
          <w:kern w:val="0"/>
          <w:sz w:val="24"/>
        </w:rPr>
        <w:t>及其摘要的议案》《关于公司</w:t>
      </w:r>
      <w:r w:rsidRPr="00EF0794">
        <w:rPr>
          <w:kern w:val="0"/>
          <w:sz w:val="24"/>
        </w:rPr>
        <w:t>&lt;2021</w:t>
      </w:r>
      <w:r w:rsidRPr="00EF0794">
        <w:rPr>
          <w:kern w:val="0"/>
          <w:sz w:val="24"/>
        </w:rPr>
        <w:t>年股票期权与限制性股票激励计划实施考核管理办法</w:t>
      </w:r>
      <w:r w:rsidRPr="00EF0794">
        <w:rPr>
          <w:kern w:val="0"/>
          <w:sz w:val="24"/>
        </w:rPr>
        <w:t>&gt;</w:t>
      </w:r>
      <w:r w:rsidRPr="00EF0794">
        <w:rPr>
          <w:kern w:val="0"/>
          <w:sz w:val="24"/>
        </w:rPr>
        <w:t>的议案》《关于提请股东大会授权董事会办理公司股权激励相关事宜的议案》，公司独立董事对相关议案发表了同意的独立意见。</w:t>
      </w:r>
    </w:p>
    <w:p w14:paraId="43B0B5DD" w14:textId="77777777" w:rsidR="0076233B" w:rsidRPr="00EF0794" w:rsidRDefault="0076233B" w:rsidP="0076233B">
      <w:pPr>
        <w:spacing w:beforeLines="50" w:before="156" w:afterLines="50" w:after="156" w:line="360" w:lineRule="auto"/>
        <w:ind w:firstLineChars="200" w:firstLine="480"/>
        <w:rPr>
          <w:kern w:val="0"/>
          <w:sz w:val="24"/>
        </w:rPr>
      </w:pPr>
      <w:r w:rsidRPr="00EF0794">
        <w:rPr>
          <w:kern w:val="0"/>
          <w:sz w:val="24"/>
        </w:rPr>
        <w:t>2</w:t>
      </w:r>
      <w:r w:rsidRPr="00EF0794">
        <w:rPr>
          <w:kern w:val="0"/>
          <w:sz w:val="24"/>
        </w:rPr>
        <w:t>、</w:t>
      </w:r>
      <w:r w:rsidRPr="00EF0794">
        <w:rPr>
          <w:kern w:val="0"/>
          <w:sz w:val="24"/>
        </w:rPr>
        <w:t>2021</w:t>
      </w:r>
      <w:r w:rsidRPr="00EF0794">
        <w:rPr>
          <w:kern w:val="0"/>
          <w:sz w:val="24"/>
        </w:rPr>
        <w:t>年</w:t>
      </w:r>
      <w:r w:rsidRPr="00EF0794">
        <w:rPr>
          <w:kern w:val="0"/>
          <w:sz w:val="24"/>
        </w:rPr>
        <w:t>10</w:t>
      </w:r>
      <w:r w:rsidRPr="00EF0794">
        <w:rPr>
          <w:kern w:val="0"/>
          <w:sz w:val="24"/>
        </w:rPr>
        <w:t>月</w:t>
      </w:r>
      <w:r w:rsidRPr="00EF0794">
        <w:rPr>
          <w:kern w:val="0"/>
          <w:sz w:val="24"/>
        </w:rPr>
        <w:t>26</w:t>
      </w:r>
      <w:r w:rsidRPr="00EF0794">
        <w:rPr>
          <w:kern w:val="0"/>
          <w:sz w:val="24"/>
        </w:rPr>
        <w:t>日，公司召开第二届监事会第二十六次会议，审议通过了《关于公司</w:t>
      </w:r>
      <w:r w:rsidRPr="00EF0794">
        <w:rPr>
          <w:kern w:val="0"/>
          <w:sz w:val="24"/>
        </w:rPr>
        <w:t>&lt;2021</w:t>
      </w:r>
      <w:r w:rsidRPr="00EF0794">
        <w:rPr>
          <w:kern w:val="0"/>
          <w:sz w:val="24"/>
        </w:rPr>
        <w:t>年</w:t>
      </w:r>
      <w:bookmarkStart w:id="6" w:name="_Hlk86848850"/>
      <w:r w:rsidRPr="00EF0794">
        <w:rPr>
          <w:kern w:val="0"/>
          <w:sz w:val="24"/>
        </w:rPr>
        <w:t>股票期权与</w:t>
      </w:r>
      <w:bookmarkEnd w:id="6"/>
      <w:r w:rsidRPr="00EF0794">
        <w:rPr>
          <w:kern w:val="0"/>
          <w:sz w:val="24"/>
        </w:rPr>
        <w:t>限制性股票激励计划（草案）</w:t>
      </w:r>
      <w:r w:rsidRPr="00EF0794">
        <w:rPr>
          <w:kern w:val="0"/>
          <w:sz w:val="24"/>
        </w:rPr>
        <w:t>&gt;</w:t>
      </w:r>
      <w:r w:rsidRPr="00EF0794">
        <w:rPr>
          <w:kern w:val="0"/>
          <w:sz w:val="24"/>
        </w:rPr>
        <w:t>及其摘要的议案》《关于公司</w:t>
      </w:r>
      <w:r w:rsidRPr="00EF0794">
        <w:rPr>
          <w:kern w:val="0"/>
          <w:sz w:val="24"/>
        </w:rPr>
        <w:t>&lt;2021</w:t>
      </w:r>
      <w:r w:rsidRPr="00EF0794">
        <w:rPr>
          <w:kern w:val="0"/>
          <w:sz w:val="24"/>
        </w:rPr>
        <w:t>年股票期权与限制性股票激励计划实施考核管理办法</w:t>
      </w:r>
      <w:bookmarkStart w:id="7" w:name="_Hlk86848833"/>
      <w:r w:rsidRPr="00EF0794">
        <w:rPr>
          <w:kern w:val="0"/>
          <w:sz w:val="24"/>
        </w:rPr>
        <w:t>&gt;</w:t>
      </w:r>
      <w:bookmarkEnd w:id="7"/>
      <w:r w:rsidRPr="00EF0794">
        <w:rPr>
          <w:kern w:val="0"/>
          <w:sz w:val="24"/>
        </w:rPr>
        <w:t>的议案》《关于核实公司</w:t>
      </w:r>
      <w:r w:rsidRPr="00EF0794">
        <w:rPr>
          <w:kern w:val="0"/>
          <w:sz w:val="24"/>
        </w:rPr>
        <w:t>&lt;2021</w:t>
      </w:r>
      <w:r w:rsidRPr="00EF0794">
        <w:rPr>
          <w:kern w:val="0"/>
          <w:sz w:val="24"/>
        </w:rPr>
        <w:t>年股票期权与限制性股票激励计划首次授予部分激励对象名单</w:t>
      </w:r>
      <w:r w:rsidRPr="00EF0794">
        <w:rPr>
          <w:kern w:val="0"/>
          <w:sz w:val="24"/>
        </w:rPr>
        <w:t>&gt;</w:t>
      </w:r>
      <w:r w:rsidRPr="00EF0794">
        <w:rPr>
          <w:kern w:val="0"/>
          <w:sz w:val="24"/>
        </w:rPr>
        <w:t>的议案》。</w:t>
      </w:r>
    </w:p>
    <w:p w14:paraId="6D3DBDC4" w14:textId="77777777" w:rsidR="0076233B" w:rsidRPr="00EF0794" w:rsidRDefault="0076233B" w:rsidP="0076233B">
      <w:pPr>
        <w:spacing w:beforeLines="50" w:before="156" w:afterLines="50" w:after="156" w:line="360" w:lineRule="auto"/>
        <w:ind w:firstLineChars="200" w:firstLine="480"/>
        <w:rPr>
          <w:kern w:val="0"/>
          <w:sz w:val="24"/>
        </w:rPr>
      </w:pPr>
      <w:r w:rsidRPr="00EF0794">
        <w:rPr>
          <w:kern w:val="0"/>
          <w:sz w:val="24"/>
        </w:rPr>
        <w:t>3</w:t>
      </w:r>
      <w:r w:rsidRPr="00EF0794">
        <w:rPr>
          <w:kern w:val="0"/>
          <w:sz w:val="24"/>
        </w:rPr>
        <w:t>、</w:t>
      </w:r>
      <w:r w:rsidRPr="00EF0794">
        <w:rPr>
          <w:kern w:val="0"/>
          <w:sz w:val="24"/>
        </w:rPr>
        <w:t>2021</w:t>
      </w:r>
      <w:r w:rsidRPr="00EF0794">
        <w:rPr>
          <w:kern w:val="0"/>
          <w:sz w:val="24"/>
        </w:rPr>
        <w:t>年</w:t>
      </w:r>
      <w:r w:rsidRPr="00EF0794">
        <w:rPr>
          <w:kern w:val="0"/>
          <w:sz w:val="24"/>
        </w:rPr>
        <w:t>10</w:t>
      </w:r>
      <w:r w:rsidRPr="00EF0794">
        <w:rPr>
          <w:kern w:val="0"/>
          <w:sz w:val="24"/>
        </w:rPr>
        <w:t>月</w:t>
      </w:r>
      <w:r w:rsidRPr="00EF0794">
        <w:rPr>
          <w:kern w:val="0"/>
          <w:sz w:val="24"/>
        </w:rPr>
        <w:t>27</w:t>
      </w:r>
      <w:r w:rsidRPr="00EF0794">
        <w:rPr>
          <w:kern w:val="0"/>
          <w:sz w:val="24"/>
        </w:rPr>
        <w:t>日至</w:t>
      </w:r>
      <w:r w:rsidRPr="00EF0794">
        <w:rPr>
          <w:kern w:val="0"/>
          <w:sz w:val="24"/>
        </w:rPr>
        <w:t>2021</w:t>
      </w:r>
      <w:r w:rsidRPr="00EF0794">
        <w:rPr>
          <w:kern w:val="0"/>
          <w:sz w:val="24"/>
        </w:rPr>
        <w:t>年</w:t>
      </w:r>
      <w:r w:rsidRPr="00EF0794">
        <w:rPr>
          <w:kern w:val="0"/>
          <w:sz w:val="24"/>
        </w:rPr>
        <w:t>11</w:t>
      </w:r>
      <w:r w:rsidRPr="00EF0794">
        <w:rPr>
          <w:kern w:val="0"/>
          <w:sz w:val="24"/>
        </w:rPr>
        <w:t>月</w:t>
      </w:r>
      <w:r w:rsidRPr="00EF0794">
        <w:rPr>
          <w:kern w:val="0"/>
          <w:sz w:val="24"/>
        </w:rPr>
        <w:t>5</w:t>
      </w:r>
      <w:r w:rsidRPr="00EF0794">
        <w:rPr>
          <w:kern w:val="0"/>
          <w:sz w:val="24"/>
        </w:rPr>
        <w:t>日，公司通过公司网站公示了《</w:t>
      </w:r>
      <w:r w:rsidRPr="00EF0794">
        <w:rPr>
          <w:kern w:val="0"/>
          <w:sz w:val="24"/>
        </w:rPr>
        <w:t>2021</w:t>
      </w:r>
      <w:r w:rsidRPr="00EF0794">
        <w:rPr>
          <w:kern w:val="0"/>
          <w:sz w:val="24"/>
        </w:rPr>
        <w:t>年股票期权与限制性股票激励计划首次授予部分激励对象名单》。在公示的期限内，没有任何组织或个人提出异议或不良反映，无反馈记录。</w:t>
      </w:r>
      <w:r w:rsidRPr="00EF0794">
        <w:rPr>
          <w:kern w:val="0"/>
          <w:sz w:val="24"/>
        </w:rPr>
        <w:t>2021</w:t>
      </w:r>
      <w:r w:rsidRPr="00EF0794">
        <w:rPr>
          <w:kern w:val="0"/>
          <w:sz w:val="24"/>
        </w:rPr>
        <w:t>年</w:t>
      </w:r>
      <w:r w:rsidRPr="00EF0794">
        <w:rPr>
          <w:kern w:val="0"/>
          <w:sz w:val="24"/>
        </w:rPr>
        <w:t>11</w:t>
      </w:r>
      <w:r w:rsidRPr="00EF0794">
        <w:rPr>
          <w:kern w:val="0"/>
          <w:sz w:val="24"/>
        </w:rPr>
        <w:t>月</w:t>
      </w:r>
      <w:r w:rsidRPr="00EF0794">
        <w:rPr>
          <w:kern w:val="0"/>
          <w:sz w:val="24"/>
        </w:rPr>
        <w:t>8</w:t>
      </w:r>
      <w:r w:rsidRPr="00EF0794">
        <w:rPr>
          <w:kern w:val="0"/>
          <w:sz w:val="24"/>
        </w:rPr>
        <w:t>日，公司公告了《监事会关于公司</w:t>
      </w:r>
      <w:r w:rsidRPr="00EF0794">
        <w:rPr>
          <w:kern w:val="0"/>
          <w:sz w:val="24"/>
        </w:rPr>
        <w:t>2021</w:t>
      </w:r>
      <w:r w:rsidRPr="00EF0794">
        <w:rPr>
          <w:kern w:val="0"/>
          <w:sz w:val="24"/>
        </w:rPr>
        <w:t>年股票期权与限制性股票激励计划首次授予部分激励对象名单的审核意见及公示情况说明》，监事会对首次授予部分激励对象名单进行了核查并对公示情况进行了说明。</w:t>
      </w:r>
    </w:p>
    <w:p w14:paraId="74A60A47" w14:textId="77777777" w:rsidR="0076233B" w:rsidRPr="00EF0794" w:rsidRDefault="0076233B" w:rsidP="0076233B">
      <w:pPr>
        <w:spacing w:beforeLines="50" w:before="156" w:afterLines="50" w:after="156" w:line="360" w:lineRule="auto"/>
        <w:ind w:firstLineChars="200" w:firstLine="480"/>
        <w:rPr>
          <w:kern w:val="0"/>
          <w:sz w:val="24"/>
        </w:rPr>
      </w:pPr>
      <w:r w:rsidRPr="00EF0794">
        <w:rPr>
          <w:kern w:val="0"/>
          <w:sz w:val="24"/>
        </w:rPr>
        <w:t>4</w:t>
      </w:r>
      <w:r w:rsidRPr="00EF0794">
        <w:rPr>
          <w:kern w:val="0"/>
          <w:sz w:val="24"/>
        </w:rPr>
        <w:t>、</w:t>
      </w:r>
      <w:r w:rsidRPr="00EF0794">
        <w:rPr>
          <w:kern w:val="0"/>
          <w:sz w:val="24"/>
        </w:rPr>
        <w:t>2021</w:t>
      </w:r>
      <w:r w:rsidRPr="00EF0794">
        <w:rPr>
          <w:kern w:val="0"/>
          <w:sz w:val="24"/>
        </w:rPr>
        <w:t>年</w:t>
      </w:r>
      <w:r w:rsidRPr="00EF0794">
        <w:rPr>
          <w:kern w:val="0"/>
          <w:sz w:val="24"/>
        </w:rPr>
        <w:t>11</w:t>
      </w:r>
      <w:r w:rsidRPr="00EF0794">
        <w:rPr>
          <w:kern w:val="0"/>
          <w:sz w:val="24"/>
        </w:rPr>
        <w:t>月</w:t>
      </w:r>
      <w:r w:rsidRPr="00EF0794">
        <w:rPr>
          <w:kern w:val="0"/>
          <w:sz w:val="24"/>
        </w:rPr>
        <w:t>12</w:t>
      </w:r>
      <w:r w:rsidRPr="00EF0794">
        <w:rPr>
          <w:kern w:val="0"/>
          <w:sz w:val="24"/>
        </w:rPr>
        <w:t>日，公司召开</w:t>
      </w:r>
      <w:r w:rsidRPr="00EF0794">
        <w:rPr>
          <w:kern w:val="0"/>
          <w:sz w:val="24"/>
        </w:rPr>
        <w:t>2021</w:t>
      </w:r>
      <w:r w:rsidRPr="00EF0794">
        <w:rPr>
          <w:kern w:val="0"/>
          <w:sz w:val="24"/>
        </w:rPr>
        <w:t>年第二次临时股东大会，审议通过了《关于公司</w:t>
      </w:r>
      <w:r w:rsidRPr="00EF0794">
        <w:rPr>
          <w:kern w:val="0"/>
          <w:sz w:val="24"/>
        </w:rPr>
        <w:t>&lt;2021</w:t>
      </w:r>
      <w:r w:rsidRPr="00EF0794">
        <w:rPr>
          <w:kern w:val="0"/>
          <w:sz w:val="24"/>
        </w:rPr>
        <w:t>年股票期权与限制性股票激励计划（草案）</w:t>
      </w:r>
      <w:r w:rsidRPr="00EF0794">
        <w:rPr>
          <w:kern w:val="0"/>
          <w:sz w:val="24"/>
        </w:rPr>
        <w:t>&gt;</w:t>
      </w:r>
      <w:r w:rsidRPr="00EF0794">
        <w:rPr>
          <w:kern w:val="0"/>
          <w:sz w:val="24"/>
        </w:rPr>
        <w:t>及其摘要的议案》《关于公司</w:t>
      </w:r>
      <w:r w:rsidRPr="00EF0794">
        <w:rPr>
          <w:kern w:val="0"/>
          <w:sz w:val="24"/>
        </w:rPr>
        <w:t>&lt;2021</w:t>
      </w:r>
      <w:r w:rsidRPr="00EF0794">
        <w:rPr>
          <w:kern w:val="0"/>
          <w:sz w:val="24"/>
        </w:rPr>
        <w:t>年股票期权与限制性股票激励计划实施考核管理办法</w:t>
      </w:r>
      <w:r w:rsidRPr="00EF0794">
        <w:rPr>
          <w:kern w:val="0"/>
          <w:sz w:val="24"/>
        </w:rPr>
        <w:t>&gt;</w:t>
      </w:r>
      <w:r w:rsidRPr="00EF0794">
        <w:rPr>
          <w:kern w:val="0"/>
          <w:sz w:val="24"/>
        </w:rPr>
        <w:t>的议案》《关于提请股东大会授权董事会办理股权激励相关事宜的议案》，并披露了《关于公司</w:t>
      </w:r>
      <w:r w:rsidRPr="00EF0794">
        <w:rPr>
          <w:kern w:val="0"/>
          <w:sz w:val="24"/>
        </w:rPr>
        <w:t>2021</w:t>
      </w:r>
      <w:r w:rsidRPr="00EF0794">
        <w:rPr>
          <w:kern w:val="0"/>
          <w:sz w:val="24"/>
        </w:rPr>
        <w:t>年股票期权与限制性股票激励计划内幕信息知情人及激励对象买卖公司股票情况的自查报告》。</w:t>
      </w:r>
    </w:p>
    <w:bookmarkEnd w:id="5"/>
    <w:p w14:paraId="20E52C39" w14:textId="77777777" w:rsidR="0076233B" w:rsidRPr="00EF0794" w:rsidRDefault="0076233B" w:rsidP="0076233B">
      <w:pPr>
        <w:spacing w:beforeLines="50" w:before="156" w:afterLines="50" w:after="156" w:line="360" w:lineRule="auto"/>
        <w:ind w:firstLineChars="200" w:firstLine="480"/>
        <w:rPr>
          <w:kern w:val="0"/>
          <w:sz w:val="24"/>
        </w:rPr>
      </w:pPr>
      <w:r w:rsidRPr="00EF0794">
        <w:rPr>
          <w:kern w:val="0"/>
          <w:sz w:val="24"/>
        </w:rPr>
        <w:t>5</w:t>
      </w:r>
      <w:r w:rsidRPr="00EF0794">
        <w:rPr>
          <w:kern w:val="0"/>
          <w:sz w:val="24"/>
        </w:rPr>
        <w:t>、</w:t>
      </w:r>
      <w:r w:rsidRPr="00EF0794">
        <w:rPr>
          <w:kern w:val="0"/>
          <w:sz w:val="24"/>
        </w:rPr>
        <w:t>2021</w:t>
      </w:r>
      <w:r w:rsidRPr="00EF0794">
        <w:rPr>
          <w:kern w:val="0"/>
          <w:sz w:val="24"/>
        </w:rPr>
        <w:t>年</w:t>
      </w:r>
      <w:r w:rsidRPr="00EF0794">
        <w:rPr>
          <w:kern w:val="0"/>
          <w:sz w:val="24"/>
        </w:rPr>
        <w:t>11</w:t>
      </w:r>
      <w:r w:rsidRPr="00EF0794">
        <w:rPr>
          <w:kern w:val="0"/>
          <w:sz w:val="24"/>
        </w:rPr>
        <w:t>月</w:t>
      </w:r>
      <w:r w:rsidRPr="00EF0794">
        <w:rPr>
          <w:kern w:val="0"/>
          <w:sz w:val="24"/>
        </w:rPr>
        <w:t>19</w:t>
      </w:r>
      <w:r w:rsidRPr="00EF0794">
        <w:rPr>
          <w:kern w:val="0"/>
          <w:sz w:val="24"/>
        </w:rPr>
        <w:t>日，公司分别召开第二届董事会第四十次会议和第二届监事会第三十次会议，审议通过了《关于调整</w:t>
      </w:r>
      <w:r w:rsidRPr="00EF0794">
        <w:rPr>
          <w:kern w:val="0"/>
          <w:sz w:val="24"/>
        </w:rPr>
        <w:t>2021</w:t>
      </w:r>
      <w:r w:rsidRPr="00EF0794">
        <w:rPr>
          <w:kern w:val="0"/>
          <w:sz w:val="24"/>
        </w:rPr>
        <w:t>年股票期权与限制性股票激</w:t>
      </w:r>
      <w:r w:rsidRPr="00EF0794">
        <w:rPr>
          <w:kern w:val="0"/>
          <w:sz w:val="24"/>
        </w:rPr>
        <w:lastRenderedPageBreak/>
        <w:t>励计划首次授予部分激励对象名单和授予数量的议案》</w:t>
      </w:r>
      <w:bookmarkStart w:id="8" w:name="_Hlk87867443"/>
      <w:r w:rsidRPr="00EF0794">
        <w:rPr>
          <w:kern w:val="0"/>
          <w:sz w:val="24"/>
        </w:rPr>
        <w:t>《关于公司向</w:t>
      </w:r>
      <w:r w:rsidRPr="00EF0794">
        <w:rPr>
          <w:kern w:val="0"/>
          <w:sz w:val="24"/>
        </w:rPr>
        <w:t>2021</w:t>
      </w:r>
      <w:r w:rsidRPr="00EF0794">
        <w:rPr>
          <w:kern w:val="0"/>
          <w:sz w:val="24"/>
        </w:rPr>
        <w:t>年股票期权与限制性股票激励计划激励对象首次授予股票期权与限制性股票的议案》</w:t>
      </w:r>
      <w:bookmarkEnd w:id="8"/>
      <w:r w:rsidRPr="00EF0794">
        <w:rPr>
          <w:kern w:val="0"/>
          <w:sz w:val="24"/>
        </w:rPr>
        <w:t>《关于公司向</w:t>
      </w:r>
      <w:r w:rsidRPr="00EF0794">
        <w:rPr>
          <w:kern w:val="0"/>
          <w:sz w:val="24"/>
        </w:rPr>
        <w:t>2021</w:t>
      </w:r>
      <w:r w:rsidRPr="00EF0794">
        <w:rPr>
          <w:kern w:val="0"/>
          <w:sz w:val="24"/>
        </w:rPr>
        <w:t>年股票期权与限制性股票激励计划激励对象授予预留股票期权与限制性股票的议案》，公司独立董事就</w:t>
      </w:r>
      <w:r w:rsidRPr="00EF0794">
        <w:rPr>
          <w:kern w:val="0"/>
          <w:sz w:val="24"/>
        </w:rPr>
        <w:t>2021</w:t>
      </w:r>
      <w:r w:rsidRPr="00EF0794">
        <w:rPr>
          <w:kern w:val="0"/>
          <w:sz w:val="24"/>
        </w:rPr>
        <w:t>年激励计划的调整和授予事项发表同意的独立意见。</w:t>
      </w:r>
    </w:p>
    <w:p w14:paraId="12DE45E0" w14:textId="5C6CFFB3" w:rsidR="0076233B" w:rsidRPr="00EF0794" w:rsidRDefault="0076233B" w:rsidP="0020662C">
      <w:pPr>
        <w:spacing w:beforeLines="50" w:before="156" w:afterLines="50" w:after="156" w:line="360" w:lineRule="auto"/>
        <w:ind w:firstLineChars="200" w:firstLine="480"/>
        <w:rPr>
          <w:kern w:val="0"/>
          <w:sz w:val="24"/>
        </w:rPr>
      </w:pPr>
      <w:r w:rsidRPr="00EF0794">
        <w:rPr>
          <w:kern w:val="0"/>
          <w:sz w:val="24"/>
        </w:rPr>
        <w:t>6</w:t>
      </w:r>
      <w:r w:rsidRPr="00EF0794">
        <w:rPr>
          <w:kern w:val="0"/>
          <w:sz w:val="24"/>
        </w:rPr>
        <w:t>、</w:t>
      </w:r>
      <w:r w:rsidRPr="00EF0794">
        <w:rPr>
          <w:kern w:val="0"/>
          <w:sz w:val="24"/>
        </w:rPr>
        <w:t>2022</w:t>
      </w:r>
      <w:r w:rsidRPr="00EF0794">
        <w:rPr>
          <w:kern w:val="0"/>
          <w:sz w:val="24"/>
        </w:rPr>
        <w:t>年</w:t>
      </w:r>
      <w:r w:rsidRPr="00EF0794">
        <w:rPr>
          <w:kern w:val="0"/>
          <w:sz w:val="24"/>
        </w:rPr>
        <w:t>10</w:t>
      </w:r>
      <w:r w:rsidRPr="00EF0794">
        <w:rPr>
          <w:kern w:val="0"/>
          <w:sz w:val="24"/>
        </w:rPr>
        <w:t>月</w:t>
      </w:r>
      <w:r w:rsidRPr="00EF0794">
        <w:rPr>
          <w:kern w:val="0"/>
          <w:sz w:val="24"/>
        </w:rPr>
        <w:t>21</w:t>
      </w:r>
      <w:r w:rsidRPr="00EF0794">
        <w:rPr>
          <w:kern w:val="0"/>
          <w:sz w:val="24"/>
        </w:rPr>
        <w:t>日，公司分别召开第三届董事会第十四次会议和第三届监事会第十次会议，审议</w:t>
      </w:r>
      <w:r w:rsidR="0020662C" w:rsidRPr="00EF0794">
        <w:rPr>
          <w:kern w:val="0"/>
          <w:sz w:val="24"/>
        </w:rPr>
        <w:t>通过</w:t>
      </w:r>
      <w:r w:rsidRPr="00EF0794">
        <w:rPr>
          <w:kern w:val="0"/>
          <w:sz w:val="24"/>
        </w:rPr>
        <w:t>《关于调整股票期权行权价格和限制性股票授予价格的议案》《关于注销</w:t>
      </w:r>
      <w:r w:rsidRPr="00EF0794">
        <w:rPr>
          <w:kern w:val="0"/>
          <w:sz w:val="24"/>
        </w:rPr>
        <w:t>2021</w:t>
      </w:r>
      <w:r w:rsidRPr="00EF0794">
        <w:rPr>
          <w:kern w:val="0"/>
          <w:sz w:val="24"/>
        </w:rPr>
        <w:t>年股票期权与限制性股票激励计划首次及预留授予股票期权的议案》《关于作废部分已授予尚未归属的限制性股票的议案》《关于</w:t>
      </w:r>
      <w:r w:rsidRPr="00EF0794">
        <w:rPr>
          <w:kern w:val="0"/>
          <w:sz w:val="24"/>
        </w:rPr>
        <w:t>2021</w:t>
      </w:r>
      <w:r w:rsidRPr="00EF0794">
        <w:rPr>
          <w:kern w:val="0"/>
          <w:sz w:val="24"/>
        </w:rPr>
        <w:t>年股票期权与限制性股票激励计划之限制性股票首次及预留授予第一个归属期归属条件成就的议案》《关于</w:t>
      </w:r>
      <w:r w:rsidRPr="00EF0794">
        <w:rPr>
          <w:kern w:val="0"/>
          <w:sz w:val="24"/>
        </w:rPr>
        <w:t>2021</w:t>
      </w:r>
      <w:r w:rsidRPr="00EF0794">
        <w:rPr>
          <w:kern w:val="0"/>
          <w:sz w:val="24"/>
        </w:rPr>
        <w:t>年股票期权与限制性股票激励计划之股票期权首次及预留授予第一个行权期行权条件成就的议案》，</w:t>
      </w:r>
      <w:r w:rsidR="0020662C" w:rsidRPr="00EF0794">
        <w:rPr>
          <w:kern w:val="0"/>
          <w:sz w:val="24"/>
        </w:rPr>
        <w:t>公司独立董事对相关议案发表了同意的独立意见。</w:t>
      </w:r>
    </w:p>
    <w:p w14:paraId="2B3D4F92" w14:textId="01265084" w:rsidR="003261C2" w:rsidRPr="00EF0794" w:rsidRDefault="003261C2" w:rsidP="003261C2">
      <w:pPr>
        <w:spacing w:beforeLines="50" w:before="156" w:afterLines="50" w:after="156" w:line="360" w:lineRule="auto"/>
        <w:ind w:firstLineChars="200" w:firstLine="482"/>
        <w:rPr>
          <w:sz w:val="24"/>
        </w:rPr>
      </w:pPr>
      <w:r w:rsidRPr="00EF0794">
        <w:rPr>
          <w:b/>
          <w:bCs/>
          <w:sz w:val="24"/>
        </w:rPr>
        <w:t>（三）股权期权的授权情况</w:t>
      </w:r>
    </w:p>
    <w:p w14:paraId="6A2269C1" w14:textId="6F22F2AD" w:rsidR="003261C2" w:rsidRPr="00EF0794" w:rsidRDefault="003261C2" w:rsidP="003261C2">
      <w:pPr>
        <w:spacing w:beforeLines="50" w:before="156" w:afterLines="50" w:after="156" w:line="360" w:lineRule="auto"/>
        <w:ind w:firstLineChars="200" w:firstLine="480"/>
        <w:rPr>
          <w:sz w:val="24"/>
        </w:rPr>
      </w:pPr>
      <w:r w:rsidRPr="00EF0794">
        <w:rPr>
          <w:sz w:val="24"/>
        </w:rPr>
        <w:t>2021</w:t>
      </w:r>
      <w:r w:rsidRPr="00EF0794">
        <w:rPr>
          <w:sz w:val="24"/>
        </w:rPr>
        <w:t>年</w:t>
      </w:r>
      <w:r w:rsidRPr="00EF0794">
        <w:rPr>
          <w:sz w:val="24"/>
        </w:rPr>
        <w:t>11</w:t>
      </w:r>
      <w:r w:rsidRPr="00EF0794">
        <w:rPr>
          <w:sz w:val="24"/>
        </w:rPr>
        <w:t>月</w:t>
      </w:r>
      <w:r w:rsidRPr="00EF0794">
        <w:rPr>
          <w:sz w:val="24"/>
        </w:rPr>
        <w:t>19</w:t>
      </w:r>
      <w:r w:rsidRPr="00EF0794">
        <w:rPr>
          <w:sz w:val="24"/>
        </w:rPr>
        <w:t>日，公司召开的第二届董事会第四十次会议审议通过《关于公司向</w:t>
      </w:r>
      <w:r w:rsidRPr="00EF0794">
        <w:rPr>
          <w:sz w:val="24"/>
        </w:rPr>
        <w:t>2021</w:t>
      </w:r>
      <w:r w:rsidRPr="00EF0794">
        <w:rPr>
          <w:sz w:val="24"/>
        </w:rPr>
        <w:t>年股票期权与限制性股票激励计划激励对象首次授予股票期权与限制性股票的议案》《关于公司向</w:t>
      </w:r>
      <w:r w:rsidRPr="00EF0794">
        <w:rPr>
          <w:sz w:val="24"/>
        </w:rPr>
        <w:t>2021</w:t>
      </w:r>
      <w:r w:rsidRPr="00EF0794">
        <w:rPr>
          <w:sz w:val="24"/>
        </w:rPr>
        <w:t>年股票期权与</w:t>
      </w:r>
      <w:r w:rsidR="00F43997" w:rsidRPr="00EF0794">
        <w:rPr>
          <w:sz w:val="24"/>
        </w:rPr>
        <w:t>限制性股票激励计划激励对象授予预留股票期权与限制性股票的议案》。</w:t>
      </w:r>
      <w:r w:rsidRPr="00EF0794">
        <w:rPr>
          <w:sz w:val="24"/>
        </w:rPr>
        <w:t>2021</w:t>
      </w:r>
      <w:r w:rsidRPr="00EF0794">
        <w:rPr>
          <w:sz w:val="24"/>
        </w:rPr>
        <w:t>年激励计划</w:t>
      </w:r>
      <w:r w:rsidR="00275079" w:rsidRPr="00EF0794">
        <w:rPr>
          <w:sz w:val="24"/>
        </w:rPr>
        <w:t>股票期权</w:t>
      </w:r>
      <w:r w:rsidRPr="00EF0794">
        <w:rPr>
          <w:sz w:val="24"/>
        </w:rPr>
        <w:t>授权情况如下：</w:t>
      </w:r>
    </w:p>
    <w:p w14:paraId="45400986" w14:textId="547FC573" w:rsidR="003261C2" w:rsidRPr="00EF0794" w:rsidRDefault="003261C2" w:rsidP="003261C2">
      <w:pPr>
        <w:autoSpaceDE w:val="0"/>
        <w:autoSpaceDN w:val="0"/>
        <w:adjustRightInd w:val="0"/>
        <w:spacing w:before="50" w:line="360" w:lineRule="auto"/>
        <w:ind w:firstLineChars="200" w:firstLine="480"/>
        <w:rPr>
          <w:sz w:val="24"/>
        </w:rPr>
      </w:pPr>
      <w:r w:rsidRPr="00EF0794">
        <w:rPr>
          <w:sz w:val="24"/>
        </w:rPr>
        <w:t>1</w:t>
      </w:r>
      <w:r w:rsidRPr="00EF0794">
        <w:rPr>
          <w:sz w:val="24"/>
        </w:rPr>
        <w:t>、股票来源：公司向激励对象定向增发的本公司</w:t>
      </w:r>
      <w:r w:rsidRPr="00EF0794">
        <w:rPr>
          <w:sz w:val="24"/>
        </w:rPr>
        <w:t>A</w:t>
      </w:r>
      <w:r w:rsidRPr="00EF0794">
        <w:rPr>
          <w:sz w:val="24"/>
        </w:rPr>
        <w:t>股普通股</w:t>
      </w:r>
      <w:r w:rsidR="00D2625D">
        <w:rPr>
          <w:rFonts w:hint="eastAsia"/>
          <w:sz w:val="24"/>
        </w:rPr>
        <w:t>。</w:t>
      </w:r>
    </w:p>
    <w:p w14:paraId="44BA2F8C" w14:textId="16FA34F7" w:rsidR="003261C2" w:rsidRPr="00EF0794" w:rsidRDefault="003261C2" w:rsidP="003261C2">
      <w:pPr>
        <w:spacing w:beforeLines="50" w:before="156" w:afterLines="50" w:after="156" w:line="360" w:lineRule="auto"/>
        <w:ind w:firstLineChars="200" w:firstLine="480"/>
        <w:rPr>
          <w:sz w:val="24"/>
        </w:rPr>
      </w:pPr>
      <w:r w:rsidRPr="00EF0794">
        <w:rPr>
          <w:sz w:val="24"/>
        </w:rPr>
        <w:t>2</w:t>
      </w:r>
      <w:r w:rsidRPr="00EF0794">
        <w:rPr>
          <w:sz w:val="24"/>
        </w:rPr>
        <w:t>、</w:t>
      </w:r>
      <w:r w:rsidRPr="00EF0794">
        <w:rPr>
          <w:kern w:val="0"/>
          <w:sz w:val="24"/>
        </w:rPr>
        <w:t>首次及预留</w:t>
      </w:r>
      <w:r w:rsidRPr="00EF0794">
        <w:rPr>
          <w:sz w:val="24"/>
        </w:rPr>
        <w:t>授权日：</w:t>
      </w:r>
      <w:r w:rsidRPr="00EF0794">
        <w:rPr>
          <w:sz w:val="24"/>
        </w:rPr>
        <w:t>2021</w:t>
      </w:r>
      <w:r w:rsidRPr="00EF0794">
        <w:rPr>
          <w:sz w:val="24"/>
        </w:rPr>
        <w:t>年</w:t>
      </w:r>
      <w:r w:rsidRPr="00EF0794">
        <w:rPr>
          <w:sz w:val="24"/>
        </w:rPr>
        <w:t>11</w:t>
      </w:r>
      <w:r w:rsidRPr="00EF0794">
        <w:rPr>
          <w:sz w:val="24"/>
        </w:rPr>
        <w:t>月</w:t>
      </w:r>
      <w:r w:rsidRPr="00EF0794">
        <w:rPr>
          <w:sz w:val="24"/>
        </w:rPr>
        <w:t>19</w:t>
      </w:r>
      <w:r w:rsidRPr="00EF0794">
        <w:rPr>
          <w:sz w:val="24"/>
        </w:rPr>
        <w:t>日</w:t>
      </w:r>
      <w:r w:rsidR="00D2625D">
        <w:rPr>
          <w:rFonts w:hint="eastAsia"/>
          <w:sz w:val="24"/>
        </w:rPr>
        <w:t>。</w:t>
      </w:r>
    </w:p>
    <w:p w14:paraId="35BEEDD8" w14:textId="0D392853" w:rsidR="003261C2" w:rsidRPr="00EF0794" w:rsidRDefault="003261C2" w:rsidP="003261C2">
      <w:pPr>
        <w:autoSpaceDE w:val="0"/>
        <w:autoSpaceDN w:val="0"/>
        <w:adjustRightInd w:val="0"/>
        <w:spacing w:before="50" w:line="360" w:lineRule="auto"/>
        <w:ind w:firstLineChars="200" w:firstLine="480"/>
        <w:rPr>
          <w:sz w:val="24"/>
        </w:rPr>
      </w:pPr>
      <w:r w:rsidRPr="00EF0794">
        <w:rPr>
          <w:sz w:val="24"/>
        </w:rPr>
        <w:t>3</w:t>
      </w:r>
      <w:r w:rsidRPr="00EF0794">
        <w:rPr>
          <w:sz w:val="24"/>
        </w:rPr>
        <w:t>、</w:t>
      </w:r>
      <w:r w:rsidRPr="00EF0794">
        <w:rPr>
          <w:kern w:val="0"/>
          <w:sz w:val="24"/>
        </w:rPr>
        <w:t>首次及</w:t>
      </w:r>
      <w:proofErr w:type="gramStart"/>
      <w:r w:rsidRPr="00EF0794">
        <w:rPr>
          <w:kern w:val="0"/>
          <w:sz w:val="24"/>
        </w:rPr>
        <w:t>预留部分行权</w:t>
      </w:r>
      <w:proofErr w:type="gramEnd"/>
      <w:r w:rsidRPr="00EF0794">
        <w:rPr>
          <w:kern w:val="0"/>
          <w:sz w:val="24"/>
        </w:rPr>
        <w:t>价格（调整前）：</w:t>
      </w:r>
      <w:r w:rsidRPr="00EF0794">
        <w:rPr>
          <w:kern w:val="0"/>
          <w:sz w:val="24"/>
        </w:rPr>
        <w:t>612.08</w:t>
      </w:r>
      <w:r w:rsidRPr="00EF0794">
        <w:rPr>
          <w:kern w:val="0"/>
          <w:sz w:val="24"/>
        </w:rPr>
        <w:t>元</w:t>
      </w:r>
      <w:r w:rsidRPr="00EF0794">
        <w:rPr>
          <w:kern w:val="0"/>
          <w:sz w:val="24"/>
        </w:rPr>
        <w:t>/</w:t>
      </w:r>
      <w:r w:rsidR="001469DE">
        <w:rPr>
          <w:kern w:val="0"/>
          <w:sz w:val="24"/>
        </w:rPr>
        <w:t>份</w:t>
      </w:r>
      <w:r w:rsidR="00D2625D">
        <w:rPr>
          <w:rFonts w:hint="eastAsia"/>
          <w:kern w:val="0"/>
          <w:sz w:val="24"/>
        </w:rPr>
        <w:t>。</w:t>
      </w:r>
    </w:p>
    <w:p w14:paraId="78B74517" w14:textId="27A86E95" w:rsidR="003261C2" w:rsidRPr="00EF0794" w:rsidRDefault="003261C2" w:rsidP="003261C2">
      <w:pPr>
        <w:autoSpaceDE w:val="0"/>
        <w:autoSpaceDN w:val="0"/>
        <w:spacing w:beforeLines="50" w:before="156" w:line="360" w:lineRule="auto"/>
        <w:ind w:firstLineChars="200" w:firstLine="480"/>
        <w:rPr>
          <w:color w:val="000000" w:themeColor="text1"/>
          <w:kern w:val="0"/>
          <w:sz w:val="24"/>
        </w:rPr>
      </w:pPr>
      <w:r w:rsidRPr="00EF0794">
        <w:rPr>
          <w:color w:val="000000" w:themeColor="text1"/>
          <w:kern w:val="0"/>
          <w:sz w:val="24"/>
        </w:rPr>
        <w:t>4</w:t>
      </w:r>
      <w:r w:rsidRPr="00EF0794">
        <w:rPr>
          <w:color w:val="000000" w:themeColor="text1"/>
          <w:kern w:val="0"/>
          <w:sz w:val="24"/>
        </w:rPr>
        <w:t>、授予对象：股票期权首次授予</w:t>
      </w:r>
      <w:r w:rsidRPr="00EF0794">
        <w:rPr>
          <w:color w:val="000000" w:themeColor="text1"/>
          <w:kern w:val="0"/>
          <w:sz w:val="24"/>
        </w:rPr>
        <w:t>279</w:t>
      </w:r>
      <w:r w:rsidRPr="00EF0794">
        <w:rPr>
          <w:color w:val="000000" w:themeColor="text1"/>
          <w:kern w:val="0"/>
          <w:sz w:val="24"/>
        </w:rPr>
        <w:t>人，预留授予</w:t>
      </w:r>
      <w:r w:rsidRPr="00EF0794">
        <w:rPr>
          <w:color w:val="000000" w:themeColor="text1"/>
          <w:kern w:val="0"/>
          <w:sz w:val="24"/>
        </w:rPr>
        <w:t>71</w:t>
      </w:r>
      <w:r w:rsidRPr="00EF0794">
        <w:rPr>
          <w:color w:val="000000" w:themeColor="text1"/>
          <w:kern w:val="0"/>
          <w:sz w:val="24"/>
        </w:rPr>
        <w:t>人，包括公司的中层管理人员及核心骨干员工</w:t>
      </w:r>
      <w:r w:rsidR="00EB2089" w:rsidRPr="00EF0794">
        <w:rPr>
          <w:color w:val="000000" w:themeColor="text1"/>
          <w:kern w:val="0"/>
          <w:sz w:val="24"/>
        </w:rPr>
        <w:t>（含外籍员工）</w:t>
      </w:r>
      <w:r w:rsidR="00C22DFA" w:rsidRPr="00EF0794">
        <w:rPr>
          <w:color w:val="000000" w:themeColor="text1"/>
          <w:kern w:val="0"/>
          <w:sz w:val="24"/>
        </w:rPr>
        <w:t>。</w:t>
      </w:r>
    </w:p>
    <w:p w14:paraId="29E28A74" w14:textId="5FE71D55" w:rsidR="003261C2" w:rsidRPr="00EF0794" w:rsidRDefault="003261C2" w:rsidP="003261C2">
      <w:pPr>
        <w:topLinePunct/>
        <w:spacing w:beforeLines="50" w:before="156" w:line="360" w:lineRule="auto"/>
        <w:ind w:firstLineChars="200" w:firstLine="480"/>
        <w:rPr>
          <w:color w:val="000000" w:themeColor="text1"/>
          <w:kern w:val="0"/>
          <w:sz w:val="24"/>
        </w:rPr>
      </w:pPr>
      <w:r w:rsidRPr="00EF0794">
        <w:rPr>
          <w:color w:val="000000" w:themeColor="text1"/>
          <w:kern w:val="0"/>
          <w:sz w:val="24"/>
        </w:rPr>
        <w:t>5</w:t>
      </w:r>
      <w:r w:rsidRPr="00EF0794">
        <w:rPr>
          <w:color w:val="000000" w:themeColor="text1"/>
          <w:kern w:val="0"/>
          <w:sz w:val="24"/>
        </w:rPr>
        <w:t>、授予数量：首次授予</w:t>
      </w:r>
      <w:r w:rsidRPr="00EF0794">
        <w:rPr>
          <w:kern w:val="0"/>
          <w:sz w:val="24"/>
        </w:rPr>
        <w:t>189.8250</w:t>
      </w:r>
      <w:r w:rsidRPr="00EF0794">
        <w:rPr>
          <w:kern w:val="0"/>
          <w:sz w:val="24"/>
        </w:rPr>
        <w:t>万份</w:t>
      </w:r>
      <w:r w:rsidRPr="00EF0794">
        <w:rPr>
          <w:color w:val="000000" w:themeColor="text1"/>
          <w:kern w:val="0"/>
          <w:sz w:val="24"/>
        </w:rPr>
        <w:t>，预留授予</w:t>
      </w:r>
      <w:r w:rsidRPr="00EF0794">
        <w:rPr>
          <w:kern w:val="0"/>
          <w:sz w:val="24"/>
        </w:rPr>
        <w:t>51.3800</w:t>
      </w:r>
      <w:r w:rsidRPr="00EF0794">
        <w:rPr>
          <w:kern w:val="0"/>
          <w:sz w:val="24"/>
        </w:rPr>
        <w:t>万份</w:t>
      </w:r>
      <w:r w:rsidRPr="00EF0794">
        <w:rPr>
          <w:color w:val="000000" w:themeColor="text1"/>
          <w:kern w:val="0"/>
          <w:sz w:val="24"/>
        </w:rPr>
        <w:t>，具体分配如下：</w:t>
      </w:r>
    </w:p>
    <w:p w14:paraId="6746BFB8" w14:textId="77777777" w:rsidR="003261C2" w:rsidRPr="00EF0794" w:rsidRDefault="003261C2" w:rsidP="003261C2">
      <w:pPr>
        <w:autoSpaceDE w:val="0"/>
        <w:autoSpaceDN w:val="0"/>
        <w:spacing w:beforeLines="50" w:before="156" w:line="360" w:lineRule="auto"/>
        <w:ind w:firstLineChars="200" w:firstLine="480"/>
        <w:rPr>
          <w:kern w:val="0"/>
          <w:sz w:val="24"/>
        </w:rPr>
      </w:pPr>
      <w:r w:rsidRPr="00EF0794">
        <w:rPr>
          <w:kern w:val="0"/>
          <w:sz w:val="24"/>
        </w:rPr>
        <w:lastRenderedPageBreak/>
        <w:t>（</w:t>
      </w:r>
      <w:r w:rsidRPr="00EF0794">
        <w:rPr>
          <w:kern w:val="0"/>
          <w:sz w:val="24"/>
        </w:rPr>
        <w:t>1</w:t>
      </w:r>
      <w:r w:rsidRPr="00EF0794">
        <w:rPr>
          <w:kern w:val="0"/>
          <w:sz w:val="24"/>
        </w:rPr>
        <w:t>）首次授予的股票期权在各激励对象间的分配情况如下表所示：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702"/>
        <w:gridCol w:w="1171"/>
        <w:gridCol w:w="1375"/>
        <w:gridCol w:w="1276"/>
        <w:gridCol w:w="1352"/>
      </w:tblGrid>
      <w:tr w:rsidR="003261C2" w:rsidRPr="00EF0794" w14:paraId="1DA8EB78" w14:textId="77777777" w:rsidTr="007807F2">
        <w:trPr>
          <w:trHeight w:val="397"/>
        </w:trPr>
        <w:tc>
          <w:tcPr>
            <w:tcW w:w="855" w:type="pct"/>
            <w:shd w:val="clear" w:color="auto" w:fill="D9D9D9"/>
            <w:vAlign w:val="center"/>
          </w:tcPr>
          <w:p w14:paraId="2035EF28" w14:textId="77777777" w:rsidR="003261C2" w:rsidRPr="00EF0794" w:rsidRDefault="003261C2" w:rsidP="007E3638">
            <w:pPr>
              <w:jc w:val="center"/>
              <w:rPr>
                <w:b/>
                <w:color w:val="000000"/>
                <w:szCs w:val="21"/>
              </w:rPr>
            </w:pPr>
            <w:r w:rsidRPr="00EF0794">
              <w:rPr>
                <w:b/>
                <w:color w:val="000000"/>
                <w:szCs w:val="21"/>
              </w:rPr>
              <w:t>姓名</w:t>
            </w:r>
          </w:p>
        </w:tc>
        <w:tc>
          <w:tcPr>
            <w:tcW w:w="1026" w:type="pct"/>
            <w:shd w:val="clear" w:color="auto" w:fill="D9D9D9"/>
            <w:vAlign w:val="center"/>
          </w:tcPr>
          <w:p w14:paraId="502487EE" w14:textId="77777777" w:rsidR="003261C2" w:rsidRPr="00EF0794" w:rsidRDefault="003261C2" w:rsidP="007E3638">
            <w:pPr>
              <w:jc w:val="center"/>
              <w:rPr>
                <w:b/>
                <w:color w:val="000000"/>
                <w:szCs w:val="21"/>
              </w:rPr>
            </w:pPr>
            <w:r w:rsidRPr="00EF0794">
              <w:rPr>
                <w:b/>
                <w:color w:val="000000"/>
                <w:szCs w:val="21"/>
              </w:rPr>
              <w:t>职务</w:t>
            </w:r>
          </w:p>
        </w:tc>
        <w:tc>
          <w:tcPr>
            <w:tcW w:w="706" w:type="pct"/>
            <w:shd w:val="clear" w:color="auto" w:fill="D9D9D9"/>
            <w:vAlign w:val="center"/>
          </w:tcPr>
          <w:p w14:paraId="247F8A5B" w14:textId="77777777" w:rsidR="003261C2" w:rsidRPr="00EF0794" w:rsidRDefault="003261C2" w:rsidP="007E3638">
            <w:pPr>
              <w:jc w:val="center"/>
              <w:rPr>
                <w:b/>
                <w:color w:val="000000"/>
                <w:szCs w:val="21"/>
              </w:rPr>
            </w:pPr>
            <w:r w:rsidRPr="00EF0794">
              <w:rPr>
                <w:b/>
                <w:color w:val="000000"/>
                <w:szCs w:val="21"/>
              </w:rPr>
              <w:t>国籍</w:t>
            </w:r>
          </w:p>
        </w:tc>
        <w:tc>
          <w:tcPr>
            <w:tcW w:w="829" w:type="pct"/>
            <w:shd w:val="clear" w:color="auto" w:fill="D9D9D9"/>
            <w:vAlign w:val="center"/>
          </w:tcPr>
          <w:p w14:paraId="4BEB972E" w14:textId="77777777" w:rsidR="003261C2" w:rsidRPr="00EF0794" w:rsidRDefault="003261C2" w:rsidP="007E3638">
            <w:pPr>
              <w:jc w:val="center"/>
              <w:textAlignment w:val="center"/>
              <w:rPr>
                <w:b/>
                <w:bCs/>
                <w:color w:val="000000"/>
                <w:szCs w:val="21"/>
              </w:rPr>
            </w:pPr>
            <w:r w:rsidRPr="00EF0794">
              <w:rPr>
                <w:b/>
                <w:bCs/>
                <w:color w:val="000000"/>
                <w:szCs w:val="21"/>
              </w:rPr>
              <w:t>获</w:t>
            </w:r>
            <w:proofErr w:type="gramStart"/>
            <w:r w:rsidRPr="00EF0794">
              <w:rPr>
                <w:b/>
                <w:bCs/>
                <w:color w:val="000000"/>
                <w:szCs w:val="21"/>
              </w:rPr>
              <w:t>授股票</w:t>
            </w:r>
            <w:proofErr w:type="gramEnd"/>
            <w:r w:rsidRPr="00EF0794">
              <w:rPr>
                <w:b/>
                <w:bCs/>
                <w:color w:val="000000"/>
                <w:szCs w:val="21"/>
              </w:rPr>
              <w:t>期权的数量</w:t>
            </w:r>
          </w:p>
          <w:p w14:paraId="28139C8D" w14:textId="77777777" w:rsidR="003261C2" w:rsidRPr="00EF0794" w:rsidRDefault="003261C2" w:rsidP="007E3638">
            <w:pPr>
              <w:spacing w:line="276" w:lineRule="auto"/>
              <w:jc w:val="center"/>
              <w:rPr>
                <w:b/>
                <w:color w:val="000000"/>
                <w:szCs w:val="21"/>
              </w:rPr>
            </w:pPr>
            <w:r w:rsidRPr="00EF0794">
              <w:rPr>
                <w:b/>
                <w:bCs/>
                <w:color w:val="000000"/>
                <w:szCs w:val="21"/>
              </w:rPr>
              <w:t>(</w:t>
            </w:r>
            <w:r w:rsidRPr="00EF0794">
              <w:rPr>
                <w:b/>
                <w:bCs/>
                <w:color w:val="000000"/>
                <w:szCs w:val="21"/>
              </w:rPr>
              <w:t>万份</w:t>
            </w:r>
            <w:r w:rsidRPr="00EF0794">
              <w:rPr>
                <w:b/>
                <w:bCs/>
                <w:color w:val="000000"/>
                <w:szCs w:val="21"/>
              </w:rPr>
              <w:t>)</w:t>
            </w:r>
          </w:p>
        </w:tc>
        <w:tc>
          <w:tcPr>
            <w:tcW w:w="769" w:type="pct"/>
            <w:shd w:val="clear" w:color="auto" w:fill="D9D9D9"/>
            <w:vAlign w:val="center"/>
          </w:tcPr>
          <w:p w14:paraId="136982B9" w14:textId="77777777" w:rsidR="003261C2" w:rsidRPr="00EF0794" w:rsidRDefault="003261C2" w:rsidP="007E3638">
            <w:pPr>
              <w:spacing w:line="276" w:lineRule="auto"/>
              <w:jc w:val="center"/>
              <w:rPr>
                <w:b/>
                <w:color w:val="000000"/>
                <w:szCs w:val="21"/>
              </w:rPr>
            </w:pPr>
            <w:proofErr w:type="gramStart"/>
            <w:r w:rsidRPr="00EF0794">
              <w:rPr>
                <w:b/>
                <w:bCs/>
                <w:color w:val="000000"/>
                <w:szCs w:val="21"/>
              </w:rPr>
              <w:t>占首次</w:t>
            </w:r>
            <w:proofErr w:type="gramEnd"/>
            <w:r w:rsidRPr="00EF0794">
              <w:rPr>
                <w:b/>
                <w:bCs/>
                <w:color w:val="000000"/>
                <w:szCs w:val="21"/>
              </w:rPr>
              <w:t>授予股票期权总数的比例</w:t>
            </w:r>
          </w:p>
        </w:tc>
        <w:tc>
          <w:tcPr>
            <w:tcW w:w="815" w:type="pct"/>
            <w:shd w:val="clear" w:color="auto" w:fill="D9D9D9"/>
            <w:vAlign w:val="center"/>
          </w:tcPr>
          <w:p w14:paraId="51C8C135" w14:textId="77777777" w:rsidR="003261C2" w:rsidRPr="00EF0794" w:rsidRDefault="003261C2" w:rsidP="007E3638">
            <w:pPr>
              <w:spacing w:line="276" w:lineRule="auto"/>
              <w:jc w:val="center"/>
              <w:rPr>
                <w:b/>
                <w:color w:val="000000"/>
                <w:szCs w:val="21"/>
              </w:rPr>
            </w:pPr>
            <w:r w:rsidRPr="00EF0794">
              <w:rPr>
                <w:b/>
                <w:bCs/>
                <w:color w:val="000000"/>
                <w:szCs w:val="21"/>
              </w:rPr>
              <w:t>占授予时股本总额的比例</w:t>
            </w:r>
          </w:p>
        </w:tc>
      </w:tr>
      <w:tr w:rsidR="003261C2" w:rsidRPr="00EF0794" w14:paraId="0B6DB3A8" w14:textId="77777777" w:rsidTr="007807F2">
        <w:trPr>
          <w:trHeight w:val="397"/>
        </w:trPr>
        <w:tc>
          <w:tcPr>
            <w:tcW w:w="855" w:type="pct"/>
            <w:shd w:val="clear" w:color="auto" w:fill="auto"/>
            <w:vAlign w:val="center"/>
          </w:tcPr>
          <w:p w14:paraId="745E0C91" w14:textId="77777777" w:rsidR="003261C2" w:rsidRPr="00EF0794" w:rsidRDefault="003261C2" w:rsidP="007E3638">
            <w:pPr>
              <w:jc w:val="center"/>
              <w:rPr>
                <w:color w:val="000000"/>
                <w:szCs w:val="21"/>
              </w:rPr>
            </w:pPr>
            <w:r w:rsidRPr="00EF0794">
              <w:rPr>
                <w:color w:val="000000"/>
                <w:szCs w:val="21"/>
              </w:rPr>
              <w:t>GE XIAOMING</w:t>
            </w:r>
          </w:p>
        </w:tc>
        <w:tc>
          <w:tcPr>
            <w:tcW w:w="1026" w:type="pct"/>
            <w:shd w:val="clear" w:color="auto" w:fill="auto"/>
            <w:vAlign w:val="center"/>
          </w:tcPr>
          <w:p w14:paraId="57151CCC" w14:textId="77777777" w:rsidR="003261C2" w:rsidRPr="00EF0794" w:rsidRDefault="003261C2" w:rsidP="007E3638">
            <w:pPr>
              <w:jc w:val="center"/>
              <w:rPr>
                <w:color w:val="000000"/>
                <w:szCs w:val="21"/>
              </w:rPr>
            </w:pPr>
            <w:r w:rsidRPr="00EF0794">
              <w:rPr>
                <w:color w:val="000000"/>
                <w:szCs w:val="21"/>
              </w:rPr>
              <w:t>中层管理人员</w:t>
            </w:r>
          </w:p>
        </w:tc>
        <w:tc>
          <w:tcPr>
            <w:tcW w:w="706" w:type="pct"/>
            <w:shd w:val="clear" w:color="auto" w:fill="auto"/>
            <w:vAlign w:val="center"/>
          </w:tcPr>
          <w:p w14:paraId="5FFE9D57" w14:textId="77777777" w:rsidR="003261C2" w:rsidRPr="00EF0794" w:rsidRDefault="003261C2" w:rsidP="007E3638">
            <w:pPr>
              <w:jc w:val="center"/>
              <w:rPr>
                <w:color w:val="000000"/>
                <w:szCs w:val="21"/>
              </w:rPr>
            </w:pPr>
            <w:r w:rsidRPr="00EF0794">
              <w:rPr>
                <w:color w:val="000000"/>
                <w:szCs w:val="21"/>
              </w:rPr>
              <w:t>新加坡</w:t>
            </w:r>
          </w:p>
        </w:tc>
        <w:tc>
          <w:tcPr>
            <w:tcW w:w="829" w:type="pct"/>
            <w:shd w:val="clear" w:color="auto" w:fill="auto"/>
            <w:vAlign w:val="center"/>
          </w:tcPr>
          <w:p w14:paraId="45E70DA3" w14:textId="77777777" w:rsidR="003261C2" w:rsidRPr="00EF0794" w:rsidRDefault="003261C2" w:rsidP="007E3638">
            <w:pPr>
              <w:jc w:val="right"/>
              <w:rPr>
                <w:color w:val="000000"/>
                <w:szCs w:val="21"/>
              </w:rPr>
            </w:pPr>
            <w:r w:rsidRPr="00EF0794">
              <w:rPr>
                <w:color w:val="000000"/>
                <w:szCs w:val="21"/>
              </w:rPr>
              <w:t>0.136</w:t>
            </w:r>
          </w:p>
        </w:tc>
        <w:tc>
          <w:tcPr>
            <w:tcW w:w="769" w:type="pct"/>
            <w:shd w:val="clear" w:color="auto" w:fill="auto"/>
            <w:vAlign w:val="center"/>
          </w:tcPr>
          <w:p w14:paraId="4C0309CB" w14:textId="77777777" w:rsidR="003261C2" w:rsidRPr="00EF0794" w:rsidRDefault="003261C2" w:rsidP="007E3638">
            <w:pPr>
              <w:jc w:val="right"/>
              <w:rPr>
                <w:color w:val="000000"/>
                <w:szCs w:val="21"/>
              </w:rPr>
            </w:pPr>
            <w:r w:rsidRPr="00EF0794">
              <w:rPr>
                <w:color w:val="000000"/>
                <w:szCs w:val="21"/>
              </w:rPr>
              <w:t>0.072%</w:t>
            </w:r>
          </w:p>
        </w:tc>
        <w:tc>
          <w:tcPr>
            <w:tcW w:w="815" w:type="pct"/>
            <w:shd w:val="clear" w:color="auto" w:fill="auto"/>
            <w:vAlign w:val="center"/>
          </w:tcPr>
          <w:p w14:paraId="2B9B99F2" w14:textId="77777777" w:rsidR="003261C2" w:rsidRPr="00EF0794" w:rsidRDefault="003261C2" w:rsidP="007E3638">
            <w:pPr>
              <w:jc w:val="right"/>
              <w:rPr>
                <w:color w:val="000000"/>
                <w:szCs w:val="21"/>
              </w:rPr>
            </w:pPr>
            <w:r w:rsidRPr="00EF0794">
              <w:rPr>
                <w:color w:val="000000"/>
                <w:szCs w:val="21"/>
              </w:rPr>
              <w:t>0.00006%</w:t>
            </w:r>
          </w:p>
        </w:tc>
      </w:tr>
      <w:tr w:rsidR="003261C2" w:rsidRPr="00EF0794" w14:paraId="72558150" w14:textId="77777777" w:rsidTr="007807F2">
        <w:trPr>
          <w:trHeight w:val="397"/>
        </w:trPr>
        <w:tc>
          <w:tcPr>
            <w:tcW w:w="855" w:type="pct"/>
            <w:shd w:val="clear" w:color="auto" w:fill="auto"/>
            <w:vAlign w:val="center"/>
          </w:tcPr>
          <w:p w14:paraId="0A91E63D" w14:textId="77777777" w:rsidR="003261C2" w:rsidRPr="00EF0794" w:rsidRDefault="003261C2" w:rsidP="007E3638">
            <w:pPr>
              <w:jc w:val="center"/>
              <w:rPr>
                <w:color w:val="000000"/>
                <w:szCs w:val="21"/>
              </w:rPr>
            </w:pPr>
            <w:r w:rsidRPr="00EF0794">
              <w:rPr>
                <w:color w:val="000000"/>
                <w:szCs w:val="21"/>
              </w:rPr>
              <w:t>JIANG BO</w:t>
            </w:r>
          </w:p>
        </w:tc>
        <w:tc>
          <w:tcPr>
            <w:tcW w:w="1026" w:type="pct"/>
            <w:shd w:val="clear" w:color="auto" w:fill="auto"/>
            <w:vAlign w:val="center"/>
          </w:tcPr>
          <w:p w14:paraId="1A3A5A19" w14:textId="77777777" w:rsidR="003261C2" w:rsidRPr="00EF0794" w:rsidRDefault="003261C2" w:rsidP="007E3638">
            <w:pPr>
              <w:jc w:val="center"/>
              <w:rPr>
                <w:color w:val="000000"/>
                <w:szCs w:val="21"/>
              </w:rPr>
            </w:pPr>
            <w:r w:rsidRPr="00EF0794">
              <w:rPr>
                <w:color w:val="000000"/>
                <w:szCs w:val="21"/>
              </w:rPr>
              <w:t>中层管理人员</w:t>
            </w:r>
          </w:p>
        </w:tc>
        <w:tc>
          <w:tcPr>
            <w:tcW w:w="706" w:type="pct"/>
            <w:shd w:val="clear" w:color="auto" w:fill="auto"/>
            <w:vAlign w:val="center"/>
          </w:tcPr>
          <w:p w14:paraId="4B9F43CD" w14:textId="77777777" w:rsidR="003261C2" w:rsidRPr="00EF0794" w:rsidRDefault="003261C2" w:rsidP="007E3638">
            <w:pPr>
              <w:jc w:val="center"/>
              <w:rPr>
                <w:color w:val="000000"/>
                <w:szCs w:val="21"/>
              </w:rPr>
            </w:pPr>
            <w:r w:rsidRPr="00EF0794">
              <w:rPr>
                <w:color w:val="000000"/>
                <w:szCs w:val="21"/>
              </w:rPr>
              <w:t>法国</w:t>
            </w:r>
          </w:p>
        </w:tc>
        <w:tc>
          <w:tcPr>
            <w:tcW w:w="829" w:type="pct"/>
            <w:shd w:val="clear" w:color="auto" w:fill="auto"/>
            <w:vAlign w:val="center"/>
          </w:tcPr>
          <w:p w14:paraId="37F8FDB1" w14:textId="77777777" w:rsidR="003261C2" w:rsidRPr="00EF0794" w:rsidRDefault="003261C2" w:rsidP="007E3638">
            <w:pPr>
              <w:jc w:val="right"/>
              <w:rPr>
                <w:color w:val="000000"/>
                <w:szCs w:val="21"/>
              </w:rPr>
            </w:pPr>
            <w:r w:rsidRPr="00EF0794">
              <w:rPr>
                <w:color w:val="000000"/>
                <w:szCs w:val="21"/>
              </w:rPr>
              <w:t>1.244</w:t>
            </w:r>
          </w:p>
        </w:tc>
        <w:tc>
          <w:tcPr>
            <w:tcW w:w="769" w:type="pct"/>
            <w:shd w:val="clear" w:color="auto" w:fill="auto"/>
            <w:vAlign w:val="center"/>
          </w:tcPr>
          <w:p w14:paraId="6629508E" w14:textId="77777777" w:rsidR="003261C2" w:rsidRPr="00EF0794" w:rsidRDefault="003261C2" w:rsidP="007E3638">
            <w:pPr>
              <w:jc w:val="right"/>
              <w:rPr>
                <w:color w:val="000000"/>
                <w:szCs w:val="21"/>
              </w:rPr>
            </w:pPr>
            <w:r w:rsidRPr="00EF0794">
              <w:rPr>
                <w:color w:val="000000"/>
                <w:szCs w:val="21"/>
              </w:rPr>
              <w:t>0.655%</w:t>
            </w:r>
          </w:p>
        </w:tc>
        <w:tc>
          <w:tcPr>
            <w:tcW w:w="815" w:type="pct"/>
            <w:shd w:val="clear" w:color="auto" w:fill="auto"/>
            <w:vAlign w:val="center"/>
          </w:tcPr>
          <w:p w14:paraId="5A044EF2" w14:textId="77777777" w:rsidR="003261C2" w:rsidRPr="00EF0794" w:rsidRDefault="003261C2" w:rsidP="007E3638">
            <w:pPr>
              <w:jc w:val="right"/>
              <w:rPr>
                <w:color w:val="000000"/>
                <w:szCs w:val="21"/>
              </w:rPr>
            </w:pPr>
            <w:r w:rsidRPr="00EF0794">
              <w:rPr>
                <w:color w:val="000000"/>
                <w:szCs w:val="21"/>
              </w:rPr>
              <w:t>0.00053%</w:t>
            </w:r>
          </w:p>
        </w:tc>
      </w:tr>
      <w:tr w:rsidR="003261C2" w:rsidRPr="00EF0794" w14:paraId="3DA6C13A" w14:textId="77777777" w:rsidTr="007807F2">
        <w:trPr>
          <w:trHeight w:val="397"/>
        </w:trPr>
        <w:tc>
          <w:tcPr>
            <w:tcW w:w="855" w:type="pct"/>
            <w:shd w:val="clear" w:color="auto" w:fill="auto"/>
            <w:vAlign w:val="center"/>
          </w:tcPr>
          <w:p w14:paraId="554ECD60" w14:textId="77777777" w:rsidR="003261C2" w:rsidRPr="00EF0794" w:rsidRDefault="003261C2" w:rsidP="007E3638">
            <w:pPr>
              <w:jc w:val="center"/>
              <w:rPr>
                <w:color w:val="000000"/>
                <w:szCs w:val="21"/>
              </w:rPr>
            </w:pPr>
            <w:r w:rsidRPr="00EF0794">
              <w:rPr>
                <w:color w:val="000000"/>
                <w:szCs w:val="21"/>
              </w:rPr>
              <w:t>QIAN WUQUAN</w:t>
            </w:r>
          </w:p>
        </w:tc>
        <w:tc>
          <w:tcPr>
            <w:tcW w:w="1026" w:type="pct"/>
            <w:shd w:val="clear" w:color="auto" w:fill="auto"/>
            <w:vAlign w:val="center"/>
          </w:tcPr>
          <w:p w14:paraId="4B29CAB2" w14:textId="77777777" w:rsidR="003261C2" w:rsidRPr="00EF0794" w:rsidRDefault="003261C2" w:rsidP="007E3638">
            <w:pPr>
              <w:jc w:val="center"/>
              <w:rPr>
                <w:color w:val="000000"/>
                <w:szCs w:val="21"/>
              </w:rPr>
            </w:pPr>
            <w:r w:rsidRPr="00EF0794">
              <w:rPr>
                <w:color w:val="000000"/>
                <w:szCs w:val="21"/>
              </w:rPr>
              <w:t>中层管理人员</w:t>
            </w:r>
          </w:p>
        </w:tc>
        <w:tc>
          <w:tcPr>
            <w:tcW w:w="706" w:type="pct"/>
            <w:shd w:val="clear" w:color="auto" w:fill="auto"/>
            <w:vAlign w:val="center"/>
          </w:tcPr>
          <w:p w14:paraId="1D51DAF2" w14:textId="77777777" w:rsidR="003261C2" w:rsidRPr="00EF0794" w:rsidRDefault="003261C2" w:rsidP="007E3638">
            <w:pPr>
              <w:jc w:val="center"/>
              <w:rPr>
                <w:color w:val="000000"/>
                <w:szCs w:val="21"/>
              </w:rPr>
            </w:pPr>
            <w:r w:rsidRPr="00EF0794">
              <w:rPr>
                <w:color w:val="000000"/>
                <w:szCs w:val="21"/>
              </w:rPr>
              <w:t>新加坡</w:t>
            </w:r>
          </w:p>
        </w:tc>
        <w:tc>
          <w:tcPr>
            <w:tcW w:w="829" w:type="pct"/>
            <w:shd w:val="clear" w:color="auto" w:fill="auto"/>
            <w:vAlign w:val="center"/>
          </w:tcPr>
          <w:p w14:paraId="684925F1" w14:textId="77777777" w:rsidR="003261C2" w:rsidRPr="00EF0794" w:rsidRDefault="003261C2" w:rsidP="007E3638">
            <w:pPr>
              <w:jc w:val="right"/>
              <w:rPr>
                <w:color w:val="000000"/>
                <w:szCs w:val="21"/>
              </w:rPr>
            </w:pPr>
            <w:r w:rsidRPr="00EF0794">
              <w:rPr>
                <w:color w:val="000000"/>
                <w:szCs w:val="21"/>
              </w:rPr>
              <w:t>1.378</w:t>
            </w:r>
          </w:p>
        </w:tc>
        <w:tc>
          <w:tcPr>
            <w:tcW w:w="769" w:type="pct"/>
            <w:shd w:val="clear" w:color="auto" w:fill="auto"/>
            <w:vAlign w:val="center"/>
          </w:tcPr>
          <w:p w14:paraId="594178F3" w14:textId="77777777" w:rsidR="003261C2" w:rsidRPr="00EF0794" w:rsidRDefault="003261C2" w:rsidP="007E3638">
            <w:pPr>
              <w:jc w:val="right"/>
              <w:rPr>
                <w:color w:val="000000"/>
                <w:szCs w:val="21"/>
              </w:rPr>
            </w:pPr>
            <w:r w:rsidRPr="00EF0794">
              <w:rPr>
                <w:color w:val="000000"/>
                <w:szCs w:val="21"/>
              </w:rPr>
              <w:t>0.726%</w:t>
            </w:r>
          </w:p>
        </w:tc>
        <w:tc>
          <w:tcPr>
            <w:tcW w:w="815" w:type="pct"/>
            <w:shd w:val="clear" w:color="auto" w:fill="auto"/>
            <w:vAlign w:val="center"/>
          </w:tcPr>
          <w:p w14:paraId="3FC9D96B" w14:textId="77777777" w:rsidR="003261C2" w:rsidRPr="00EF0794" w:rsidRDefault="003261C2" w:rsidP="007E3638">
            <w:pPr>
              <w:jc w:val="right"/>
              <w:rPr>
                <w:color w:val="000000"/>
                <w:szCs w:val="21"/>
              </w:rPr>
            </w:pPr>
            <w:r w:rsidRPr="00EF0794">
              <w:rPr>
                <w:color w:val="000000"/>
                <w:szCs w:val="21"/>
              </w:rPr>
              <w:t>0.00059%</w:t>
            </w:r>
          </w:p>
        </w:tc>
      </w:tr>
      <w:tr w:rsidR="003261C2" w:rsidRPr="00EF0794" w14:paraId="19153293" w14:textId="77777777" w:rsidTr="007807F2">
        <w:trPr>
          <w:trHeight w:val="397"/>
        </w:trPr>
        <w:tc>
          <w:tcPr>
            <w:tcW w:w="855" w:type="pct"/>
            <w:shd w:val="clear" w:color="auto" w:fill="auto"/>
            <w:vAlign w:val="center"/>
          </w:tcPr>
          <w:p w14:paraId="414FA25D" w14:textId="77777777" w:rsidR="003261C2" w:rsidRPr="00EF0794" w:rsidRDefault="003261C2" w:rsidP="007E3638">
            <w:pPr>
              <w:jc w:val="center"/>
              <w:rPr>
                <w:color w:val="000000"/>
                <w:szCs w:val="21"/>
              </w:rPr>
            </w:pPr>
            <w:r w:rsidRPr="00EF0794">
              <w:rPr>
                <w:color w:val="000000"/>
                <w:szCs w:val="21"/>
              </w:rPr>
              <w:t>YU TAO</w:t>
            </w:r>
          </w:p>
        </w:tc>
        <w:tc>
          <w:tcPr>
            <w:tcW w:w="1026" w:type="pct"/>
            <w:shd w:val="clear" w:color="auto" w:fill="auto"/>
            <w:vAlign w:val="center"/>
          </w:tcPr>
          <w:p w14:paraId="2714B0E3" w14:textId="77777777" w:rsidR="003261C2" w:rsidRPr="00EF0794" w:rsidRDefault="003261C2" w:rsidP="007E3638">
            <w:pPr>
              <w:jc w:val="center"/>
              <w:rPr>
                <w:color w:val="000000"/>
                <w:szCs w:val="21"/>
              </w:rPr>
            </w:pPr>
            <w:r w:rsidRPr="00EF0794">
              <w:rPr>
                <w:color w:val="000000"/>
                <w:szCs w:val="21"/>
              </w:rPr>
              <w:t>中层管理人员</w:t>
            </w:r>
          </w:p>
        </w:tc>
        <w:tc>
          <w:tcPr>
            <w:tcW w:w="706" w:type="pct"/>
            <w:shd w:val="clear" w:color="auto" w:fill="auto"/>
            <w:vAlign w:val="center"/>
          </w:tcPr>
          <w:p w14:paraId="5FD2CBE8" w14:textId="77777777" w:rsidR="003261C2" w:rsidRPr="00EF0794" w:rsidRDefault="003261C2" w:rsidP="007E3638">
            <w:pPr>
              <w:jc w:val="center"/>
              <w:rPr>
                <w:color w:val="000000"/>
                <w:szCs w:val="21"/>
              </w:rPr>
            </w:pPr>
            <w:r w:rsidRPr="00EF0794">
              <w:rPr>
                <w:color w:val="000000"/>
                <w:szCs w:val="21"/>
              </w:rPr>
              <w:t>澳大利亚</w:t>
            </w:r>
          </w:p>
        </w:tc>
        <w:tc>
          <w:tcPr>
            <w:tcW w:w="829" w:type="pct"/>
            <w:shd w:val="clear" w:color="auto" w:fill="auto"/>
            <w:vAlign w:val="center"/>
          </w:tcPr>
          <w:p w14:paraId="34E55C26" w14:textId="77777777" w:rsidR="003261C2" w:rsidRPr="00EF0794" w:rsidRDefault="003261C2" w:rsidP="007E3638">
            <w:pPr>
              <w:jc w:val="right"/>
              <w:rPr>
                <w:color w:val="000000"/>
                <w:szCs w:val="21"/>
              </w:rPr>
            </w:pPr>
            <w:r w:rsidRPr="00EF0794">
              <w:rPr>
                <w:color w:val="000000"/>
                <w:szCs w:val="21"/>
              </w:rPr>
              <w:t>0.407</w:t>
            </w:r>
          </w:p>
        </w:tc>
        <w:tc>
          <w:tcPr>
            <w:tcW w:w="769" w:type="pct"/>
            <w:shd w:val="clear" w:color="auto" w:fill="auto"/>
            <w:vAlign w:val="center"/>
          </w:tcPr>
          <w:p w14:paraId="5E0CE19D" w14:textId="77777777" w:rsidR="003261C2" w:rsidRPr="00EF0794" w:rsidRDefault="003261C2" w:rsidP="007E3638">
            <w:pPr>
              <w:jc w:val="right"/>
              <w:rPr>
                <w:color w:val="000000"/>
                <w:szCs w:val="21"/>
              </w:rPr>
            </w:pPr>
            <w:r w:rsidRPr="00EF0794">
              <w:rPr>
                <w:color w:val="000000"/>
                <w:szCs w:val="21"/>
              </w:rPr>
              <w:t>0.214%</w:t>
            </w:r>
          </w:p>
        </w:tc>
        <w:tc>
          <w:tcPr>
            <w:tcW w:w="815" w:type="pct"/>
            <w:shd w:val="clear" w:color="auto" w:fill="auto"/>
            <w:vAlign w:val="center"/>
          </w:tcPr>
          <w:p w14:paraId="2F382CA3" w14:textId="77777777" w:rsidR="003261C2" w:rsidRPr="00EF0794" w:rsidRDefault="003261C2" w:rsidP="007E3638">
            <w:pPr>
              <w:jc w:val="right"/>
              <w:rPr>
                <w:color w:val="000000"/>
                <w:szCs w:val="21"/>
              </w:rPr>
            </w:pPr>
            <w:r w:rsidRPr="00EF0794">
              <w:rPr>
                <w:color w:val="000000"/>
                <w:szCs w:val="21"/>
              </w:rPr>
              <w:t>0.00017%</w:t>
            </w:r>
          </w:p>
        </w:tc>
      </w:tr>
      <w:tr w:rsidR="003261C2" w:rsidRPr="00EF0794" w14:paraId="3BE76479" w14:textId="77777777" w:rsidTr="007807F2">
        <w:trPr>
          <w:trHeight w:val="397"/>
        </w:trPr>
        <w:tc>
          <w:tcPr>
            <w:tcW w:w="855" w:type="pct"/>
            <w:shd w:val="clear" w:color="auto" w:fill="auto"/>
            <w:vAlign w:val="center"/>
          </w:tcPr>
          <w:p w14:paraId="5D41DE35" w14:textId="77777777" w:rsidR="003261C2" w:rsidRPr="00EF0794" w:rsidRDefault="003261C2" w:rsidP="007E3638">
            <w:pPr>
              <w:jc w:val="center"/>
              <w:rPr>
                <w:color w:val="000000"/>
                <w:szCs w:val="21"/>
              </w:rPr>
            </w:pPr>
            <w:r w:rsidRPr="00EF0794">
              <w:rPr>
                <w:color w:val="000000"/>
                <w:szCs w:val="21"/>
              </w:rPr>
              <w:t>杜松岩</w:t>
            </w:r>
          </w:p>
        </w:tc>
        <w:tc>
          <w:tcPr>
            <w:tcW w:w="1026" w:type="pct"/>
            <w:shd w:val="clear" w:color="auto" w:fill="auto"/>
            <w:vAlign w:val="center"/>
          </w:tcPr>
          <w:p w14:paraId="42F688EC" w14:textId="77777777" w:rsidR="003261C2" w:rsidRPr="00EF0794" w:rsidRDefault="003261C2" w:rsidP="007E3638">
            <w:pPr>
              <w:jc w:val="center"/>
              <w:rPr>
                <w:color w:val="000000"/>
                <w:szCs w:val="21"/>
              </w:rPr>
            </w:pPr>
            <w:r w:rsidRPr="00EF0794">
              <w:rPr>
                <w:color w:val="000000"/>
                <w:szCs w:val="21"/>
              </w:rPr>
              <w:t>中层管理人员</w:t>
            </w:r>
          </w:p>
        </w:tc>
        <w:tc>
          <w:tcPr>
            <w:tcW w:w="706" w:type="pct"/>
            <w:shd w:val="clear" w:color="auto" w:fill="auto"/>
            <w:vAlign w:val="center"/>
          </w:tcPr>
          <w:p w14:paraId="06EF8E45" w14:textId="77777777" w:rsidR="003261C2" w:rsidRPr="00EF0794" w:rsidRDefault="003261C2" w:rsidP="007E3638">
            <w:pPr>
              <w:jc w:val="center"/>
              <w:rPr>
                <w:color w:val="000000"/>
                <w:szCs w:val="21"/>
              </w:rPr>
            </w:pPr>
            <w:r w:rsidRPr="00EF0794">
              <w:rPr>
                <w:color w:val="000000"/>
                <w:szCs w:val="21"/>
              </w:rPr>
              <w:t>德国</w:t>
            </w:r>
          </w:p>
        </w:tc>
        <w:tc>
          <w:tcPr>
            <w:tcW w:w="829" w:type="pct"/>
            <w:shd w:val="clear" w:color="auto" w:fill="auto"/>
            <w:vAlign w:val="center"/>
          </w:tcPr>
          <w:p w14:paraId="2F3199F3" w14:textId="77777777" w:rsidR="003261C2" w:rsidRPr="00EF0794" w:rsidRDefault="003261C2" w:rsidP="007E3638">
            <w:pPr>
              <w:jc w:val="right"/>
              <w:rPr>
                <w:color w:val="000000"/>
                <w:szCs w:val="21"/>
              </w:rPr>
            </w:pPr>
            <w:r w:rsidRPr="00EF0794">
              <w:rPr>
                <w:color w:val="000000"/>
                <w:szCs w:val="21"/>
              </w:rPr>
              <w:t>0.271</w:t>
            </w:r>
          </w:p>
        </w:tc>
        <w:tc>
          <w:tcPr>
            <w:tcW w:w="769" w:type="pct"/>
            <w:shd w:val="clear" w:color="auto" w:fill="auto"/>
            <w:vAlign w:val="center"/>
          </w:tcPr>
          <w:p w14:paraId="1CEBD18D" w14:textId="77777777" w:rsidR="003261C2" w:rsidRPr="00EF0794" w:rsidRDefault="003261C2" w:rsidP="007E3638">
            <w:pPr>
              <w:jc w:val="right"/>
              <w:rPr>
                <w:color w:val="000000"/>
                <w:szCs w:val="21"/>
              </w:rPr>
            </w:pPr>
            <w:r w:rsidRPr="00EF0794">
              <w:rPr>
                <w:color w:val="000000"/>
                <w:szCs w:val="21"/>
              </w:rPr>
              <w:t>0.143%</w:t>
            </w:r>
          </w:p>
        </w:tc>
        <w:tc>
          <w:tcPr>
            <w:tcW w:w="815" w:type="pct"/>
            <w:shd w:val="clear" w:color="auto" w:fill="auto"/>
            <w:vAlign w:val="center"/>
          </w:tcPr>
          <w:p w14:paraId="1DD2D2A2" w14:textId="77777777" w:rsidR="003261C2" w:rsidRPr="00EF0794" w:rsidRDefault="003261C2" w:rsidP="007E3638">
            <w:pPr>
              <w:jc w:val="right"/>
              <w:rPr>
                <w:color w:val="000000"/>
                <w:szCs w:val="21"/>
              </w:rPr>
            </w:pPr>
            <w:r w:rsidRPr="00EF0794">
              <w:rPr>
                <w:color w:val="000000"/>
                <w:szCs w:val="21"/>
              </w:rPr>
              <w:t>0.00012%</w:t>
            </w:r>
          </w:p>
        </w:tc>
      </w:tr>
      <w:tr w:rsidR="003261C2" w:rsidRPr="00EF0794" w14:paraId="09437C50" w14:textId="77777777" w:rsidTr="007807F2">
        <w:trPr>
          <w:trHeight w:val="397"/>
        </w:trPr>
        <w:tc>
          <w:tcPr>
            <w:tcW w:w="855" w:type="pct"/>
            <w:shd w:val="clear" w:color="auto" w:fill="auto"/>
            <w:vAlign w:val="center"/>
          </w:tcPr>
          <w:p w14:paraId="370644B5" w14:textId="77777777" w:rsidR="003261C2" w:rsidRPr="00EF0794" w:rsidRDefault="003261C2" w:rsidP="007E3638">
            <w:pPr>
              <w:jc w:val="center"/>
              <w:rPr>
                <w:color w:val="000000"/>
                <w:szCs w:val="21"/>
              </w:rPr>
            </w:pPr>
            <w:proofErr w:type="gramStart"/>
            <w:r w:rsidRPr="00EF0794">
              <w:rPr>
                <w:color w:val="000000"/>
                <w:szCs w:val="21"/>
              </w:rPr>
              <w:t>方树康</w:t>
            </w:r>
            <w:proofErr w:type="gramEnd"/>
          </w:p>
        </w:tc>
        <w:tc>
          <w:tcPr>
            <w:tcW w:w="1026" w:type="pct"/>
            <w:shd w:val="clear" w:color="auto" w:fill="auto"/>
            <w:vAlign w:val="center"/>
          </w:tcPr>
          <w:p w14:paraId="0686A9ED" w14:textId="77777777" w:rsidR="003261C2" w:rsidRPr="00EF0794" w:rsidRDefault="003261C2" w:rsidP="007E3638">
            <w:pPr>
              <w:jc w:val="center"/>
              <w:rPr>
                <w:color w:val="000000"/>
                <w:szCs w:val="21"/>
              </w:rPr>
            </w:pPr>
            <w:r w:rsidRPr="00EF0794">
              <w:rPr>
                <w:color w:val="000000"/>
                <w:szCs w:val="21"/>
              </w:rPr>
              <w:t>中层管理人员</w:t>
            </w:r>
          </w:p>
        </w:tc>
        <w:tc>
          <w:tcPr>
            <w:tcW w:w="706" w:type="pct"/>
            <w:shd w:val="clear" w:color="auto" w:fill="auto"/>
            <w:vAlign w:val="center"/>
          </w:tcPr>
          <w:p w14:paraId="77319839" w14:textId="77777777" w:rsidR="003261C2" w:rsidRPr="00EF0794" w:rsidRDefault="003261C2" w:rsidP="007E3638">
            <w:pPr>
              <w:jc w:val="center"/>
              <w:rPr>
                <w:color w:val="000000"/>
                <w:szCs w:val="21"/>
              </w:rPr>
            </w:pPr>
            <w:r w:rsidRPr="00EF0794">
              <w:rPr>
                <w:color w:val="000000"/>
                <w:szCs w:val="21"/>
              </w:rPr>
              <w:t>中国香港</w:t>
            </w:r>
          </w:p>
        </w:tc>
        <w:tc>
          <w:tcPr>
            <w:tcW w:w="829" w:type="pct"/>
            <w:shd w:val="clear" w:color="auto" w:fill="auto"/>
            <w:vAlign w:val="center"/>
          </w:tcPr>
          <w:p w14:paraId="44A9CC93" w14:textId="77777777" w:rsidR="003261C2" w:rsidRPr="00EF0794" w:rsidRDefault="003261C2" w:rsidP="007E3638">
            <w:pPr>
              <w:jc w:val="right"/>
              <w:rPr>
                <w:color w:val="000000"/>
                <w:szCs w:val="21"/>
              </w:rPr>
            </w:pPr>
            <w:r w:rsidRPr="00EF0794">
              <w:rPr>
                <w:color w:val="000000"/>
                <w:szCs w:val="21"/>
              </w:rPr>
              <w:t>1.739</w:t>
            </w:r>
          </w:p>
        </w:tc>
        <w:tc>
          <w:tcPr>
            <w:tcW w:w="769" w:type="pct"/>
            <w:shd w:val="clear" w:color="auto" w:fill="auto"/>
            <w:vAlign w:val="center"/>
          </w:tcPr>
          <w:p w14:paraId="411A05A2" w14:textId="77777777" w:rsidR="003261C2" w:rsidRPr="00EF0794" w:rsidRDefault="003261C2" w:rsidP="007E3638">
            <w:pPr>
              <w:jc w:val="right"/>
              <w:rPr>
                <w:color w:val="000000"/>
                <w:szCs w:val="21"/>
              </w:rPr>
            </w:pPr>
            <w:r w:rsidRPr="00EF0794">
              <w:rPr>
                <w:color w:val="000000"/>
                <w:szCs w:val="21"/>
              </w:rPr>
              <w:t>0.916%</w:t>
            </w:r>
          </w:p>
        </w:tc>
        <w:tc>
          <w:tcPr>
            <w:tcW w:w="815" w:type="pct"/>
            <w:shd w:val="clear" w:color="auto" w:fill="auto"/>
            <w:vAlign w:val="center"/>
          </w:tcPr>
          <w:p w14:paraId="1E56F6B7" w14:textId="77777777" w:rsidR="003261C2" w:rsidRPr="00EF0794" w:rsidRDefault="003261C2" w:rsidP="007E3638">
            <w:pPr>
              <w:jc w:val="right"/>
              <w:rPr>
                <w:color w:val="000000"/>
                <w:szCs w:val="21"/>
              </w:rPr>
            </w:pPr>
            <w:r w:rsidRPr="00EF0794">
              <w:rPr>
                <w:color w:val="000000"/>
                <w:szCs w:val="21"/>
              </w:rPr>
              <w:t>0.00075%</w:t>
            </w:r>
          </w:p>
        </w:tc>
      </w:tr>
      <w:tr w:rsidR="003261C2" w:rsidRPr="00EF0794" w14:paraId="3B22F86F" w14:textId="77777777" w:rsidTr="007807F2">
        <w:trPr>
          <w:trHeight w:val="397"/>
        </w:trPr>
        <w:tc>
          <w:tcPr>
            <w:tcW w:w="855" w:type="pct"/>
            <w:shd w:val="clear" w:color="auto" w:fill="auto"/>
            <w:vAlign w:val="center"/>
          </w:tcPr>
          <w:p w14:paraId="7D04B484" w14:textId="77777777" w:rsidR="003261C2" w:rsidRPr="00EF0794" w:rsidRDefault="003261C2" w:rsidP="007E3638">
            <w:pPr>
              <w:jc w:val="center"/>
              <w:rPr>
                <w:color w:val="000000"/>
                <w:szCs w:val="21"/>
              </w:rPr>
            </w:pPr>
            <w:proofErr w:type="gramStart"/>
            <w:r w:rsidRPr="00EF0794">
              <w:rPr>
                <w:color w:val="000000"/>
                <w:szCs w:val="21"/>
              </w:rPr>
              <w:t>周耀强</w:t>
            </w:r>
            <w:proofErr w:type="gramEnd"/>
          </w:p>
        </w:tc>
        <w:tc>
          <w:tcPr>
            <w:tcW w:w="1026" w:type="pct"/>
            <w:shd w:val="clear" w:color="auto" w:fill="auto"/>
            <w:vAlign w:val="center"/>
          </w:tcPr>
          <w:p w14:paraId="388E39A5" w14:textId="77777777" w:rsidR="003261C2" w:rsidRPr="00EF0794" w:rsidRDefault="003261C2" w:rsidP="007E3638">
            <w:pPr>
              <w:jc w:val="center"/>
              <w:rPr>
                <w:color w:val="000000"/>
                <w:szCs w:val="21"/>
              </w:rPr>
            </w:pPr>
            <w:r w:rsidRPr="00EF0794">
              <w:rPr>
                <w:color w:val="000000"/>
                <w:szCs w:val="21"/>
              </w:rPr>
              <w:t>中层管理人员</w:t>
            </w:r>
          </w:p>
        </w:tc>
        <w:tc>
          <w:tcPr>
            <w:tcW w:w="706" w:type="pct"/>
            <w:shd w:val="clear" w:color="auto" w:fill="auto"/>
            <w:vAlign w:val="center"/>
          </w:tcPr>
          <w:p w14:paraId="43463500" w14:textId="77777777" w:rsidR="003261C2" w:rsidRPr="00EF0794" w:rsidRDefault="003261C2" w:rsidP="007E3638">
            <w:pPr>
              <w:jc w:val="center"/>
              <w:rPr>
                <w:color w:val="000000"/>
                <w:szCs w:val="21"/>
              </w:rPr>
            </w:pPr>
            <w:r w:rsidRPr="00EF0794">
              <w:rPr>
                <w:color w:val="000000"/>
                <w:szCs w:val="21"/>
              </w:rPr>
              <w:t>中国香港</w:t>
            </w:r>
          </w:p>
        </w:tc>
        <w:tc>
          <w:tcPr>
            <w:tcW w:w="829" w:type="pct"/>
            <w:shd w:val="clear" w:color="auto" w:fill="auto"/>
            <w:vAlign w:val="center"/>
          </w:tcPr>
          <w:p w14:paraId="776C1478" w14:textId="77777777" w:rsidR="003261C2" w:rsidRPr="00EF0794" w:rsidRDefault="003261C2" w:rsidP="007E3638">
            <w:pPr>
              <w:jc w:val="right"/>
              <w:rPr>
                <w:color w:val="000000"/>
                <w:szCs w:val="21"/>
              </w:rPr>
            </w:pPr>
            <w:r w:rsidRPr="00EF0794">
              <w:rPr>
                <w:color w:val="000000"/>
                <w:szCs w:val="21"/>
              </w:rPr>
              <w:t>1.920</w:t>
            </w:r>
          </w:p>
        </w:tc>
        <w:tc>
          <w:tcPr>
            <w:tcW w:w="769" w:type="pct"/>
            <w:shd w:val="clear" w:color="auto" w:fill="auto"/>
            <w:vAlign w:val="center"/>
          </w:tcPr>
          <w:p w14:paraId="085A26C6" w14:textId="77777777" w:rsidR="003261C2" w:rsidRPr="00EF0794" w:rsidRDefault="003261C2" w:rsidP="007E3638">
            <w:pPr>
              <w:jc w:val="right"/>
              <w:rPr>
                <w:color w:val="000000"/>
                <w:szCs w:val="21"/>
              </w:rPr>
            </w:pPr>
            <w:r w:rsidRPr="00EF0794">
              <w:rPr>
                <w:color w:val="000000"/>
                <w:szCs w:val="21"/>
              </w:rPr>
              <w:t>1.011%</w:t>
            </w:r>
          </w:p>
        </w:tc>
        <w:tc>
          <w:tcPr>
            <w:tcW w:w="815" w:type="pct"/>
            <w:shd w:val="clear" w:color="auto" w:fill="auto"/>
            <w:vAlign w:val="center"/>
          </w:tcPr>
          <w:p w14:paraId="058E320E" w14:textId="77777777" w:rsidR="003261C2" w:rsidRPr="00EF0794" w:rsidRDefault="003261C2" w:rsidP="007E3638">
            <w:pPr>
              <w:jc w:val="right"/>
              <w:rPr>
                <w:color w:val="000000"/>
                <w:szCs w:val="21"/>
              </w:rPr>
            </w:pPr>
            <w:r w:rsidRPr="00EF0794">
              <w:rPr>
                <w:color w:val="000000"/>
                <w:szCs w:val="21"/>
              </w:rPr>
              <w:t>0.00082%</w:t>
            </w:r>
          </w:p>
        </w:tc>
      </w:tr>
      <w:tr w:rsidR="003261C2" w:rsidRPr="00EF0794" w14:paraId="01A880FB" w14:textId="77777777" w:rsidTr="007807F2">
        <w:trPr>
          <w:trHeight w:val="397"/>
        </w:trPr>
        <w:tc>
          <w:tcPr>
            <w:tcW w:w="2587" w:type="pct"/>
            <w:gridSpan w:val="3"/>
            <w:vAlign w:val="center"/>
          </w:tcPr>
          <w:p w14:paraId="47A1A0C0" w14:textId="77777777" w:rsidR="003261C2" w:rsidRPr="00EF0794" w:rsidRDefault="003261C2" w:rsidP="007E3638">
            <w:pPr>
              <w:jc w:val="center"/>
              <w:rPr>
                <w:color w:val="000000"/>
                <w:szCs w:val="21"/>
              </w:rPr>
            </w:pPr>
            <w:r w:rsidRPr="00EF0794">
              <w:rPr>
                <w:color w:val="000000"/>
                <w:szCs w:val="21"/>
              </w:rPr>
              <w:t>其他中层管理人员（共</w:t>
            </w:r>
            <w:r w:rsidRPr="00EF0794">
              <w:rPr>
                <w:color w:val="000000"/>
                <w:szCs w:val="21"/>
              </w:rPr>
              <w:t>272</w:t>
            </w:r>
            <w:r w:rsidRPr="00EF0794">
              <w:rPr>
                <w:color w:val="000000"/>
                <w:szCs w:val="21"/>
              </w:rPr>
              <w:t>人）</w:t>
            </w:r>
          </w:p>
        </w:tc>
        <w:tc>
          <w:tcPr>
            <w:tcW w:w="829" w:type="pct"/>
            <w:shd w:val="clear" w:color="auto" w:fill="auto"/>
            <w:vAlign w:val="center"/>
          </w:tcPr>
          <w:p w14:paraId="1EA0CB35" w14:textId="77777777" w:rsidR="003261C2" w:rsidRPr="00EF0794" w:rsidRDefault="003261C2" w:rsidP="007E3638">
            <w:pPr>
              <w:jc w:val="right"/>
              <w:rPr>
                <w:color w:val="000000"/>
                <w:szCs w:val="21"/>
              </w:rPr>
            </w:pPr>
            <w:r w:rsidRPr="00EF0794">
              <w:rPr>
                <w:color w:val="000000"/>
                <w:szCs w:val="21"/>
              </w:rPr>
              <w:t xml:space="preserve"> 182.730 </w:t>
            </w:r>
          </w:p>
        </w:tc>
        <w:tc>
          <w:tcPr>
            <w:tcW w:w="769" w:type="pct"/>
            <w:shd w:val="clear" w:color="auto" w:fill="auto"/>
            <w:vAlign w:val="center"/>
          </w:tcPr>
          <w:p w14:paraId="19A0617C" w14:textId="77777777" w:rsidR="003261C2" w:rsidRPr="00EF0794" w:rsidRDefault="003261C2" w:rsidP="007E3638">
            <w:pPr>
              <w:jc w:val="right"/>
              <w:rPr>
                <w:color w:val="000000"/>
                <w:szCs w:val="21"/>
              </w:rPr>
            </w:pPr>
            <w:r w:rsidRPr="00EF0794">
              <w:rPr>
                <w:color w:val="000000"/>
                <w:szCs w:val="21"/>
              </w:rPr>
              <w:t>96.262%</w:t>
            </w:r>
          </w:p>
        </w:tc>
        <w:tc>
          <w:tcPr>
            <w:tcW w:w="815" w:type="pct"/>
            <w:shd w:val="clear" w:color="auto" w:fill="auto"/>
            <w:vAlign w:val="center"/>
          </w:tcPr>
          <w:p w14:paraId="38C8927C" w14:textId="77777777" w:rsidR="003261C2" w:rsidRPr="00EF0794" w:rsidRDefault="003261C2" w:rsidP="007E3638">
            <w:pPr>
              <w:jc w:val="right"/>
              <w:rPr>
                <w:color w:val="000000"/>
                <w:szCs w:val="21"/>
              </w:rPr>
            </w:pPr>
            <w:r w:rsidRPr="00EF0794">
              <w:rPr>
                <w:color w:val="000000"/>
                <w:szCs w:val="21"/>
              </w:rPr>
              <w:t>0.07840%</w:t>
            </w:r>
          </w:p>
        </w:tc>
      </w:tr>
      <w:tr w:rsidR="003261C2" w:rsidRPr="00EF0794" w14:paraId="5F9E1653" w14:textId="77777777" w:rsidTr="007807F2">
        <w:trPr>
          <w:trHeight w:val="397"/>
        </w:trPr>
        <w:tc>
          <w:tcPr>
            <w:tcW w:w="2587" w:type="pct"/>
            <w:gridSpan w:val="3"/>
            <w:vAlign w:val="center"/>
          </w:tcPr>
          <w:p w14:paraId="3868E02C" w14:textId="77777777" w:rsidR="003261C2" w:rsidRPr="00EF0794" w:rsidRDefault="003261C2" w:rsidP="007E3638">
            <w:pPr>
              <w:jc w:val="center"/>
              <w:rPr>
                <w:b/>
                <w:color w:val="000000"/>
                <w:szCs w:val="21"/>
              </w:rPr>
            </w:pPr>
            <w:r w:rsidRPr="00EF0794">
              <w:rPr>
                <w:b/>
                <w:color w:val="000000"/>
                <w:szCs w:val="21"/>
              </w:rPr>
              <w:t>合计（</w:t>
            </w:r>
            <w:r w:rsidRPr="00EF0794">
              <w:rPr>
                <w:b/>
                <w:color w:val="000000"/>
                <w:szCs w:val="21"/>
              </w:rPr>
              <w:t>279</w:t>
            </w:r>
            <w:r w:rsidRPr="00EF0794">
              <w:rPr>
                <w:b/>
                <w:color w:val="000000"/>
                <w:szCs w:val="21"/>
              </w:rPr>
              <w:t>人）</w:t>
            </w:r>
          </w:p>
        </w:tc>
        <w:tc>
          <w:tcPr>
            <w:tcW w:w="829" w:type="pct"/>
            <w:shd w:val="clear" w:color="auto" w:fill="auto"/>
            <w:vAlign w:val="center"/>
          </w:tcPr>
          <w:p w14:paraId="2A6CBA4C" w14:textId="77777777" w:rsidR="003261C2" w:rsidRPr="00EF0794" w:rsidRDefault="003261C2" w:rsidP="007E3638">
            <w:pPr>
              <w:jc w:val="right"/>
              <w:rPr>
                <w:b/>
                <w:color w:val="000000"/>
                <w:szCs w:val="21"/>
              </w:rPr>
            </w:pPr>
            <w:r w:rsidRPr="00EF0794">
              <w:rPr>
                <w:b/>
                <w:color w:val="000000"/>
                <w:szCs w:val="21"/>
              </w:rPr>
              <w:t xml:space="preserve"> 189.825 </w:t>
            </w:r>
          </w:p>
        </w:tc>
        <w:tc>
          <w:tcPr>
            <w:tcW w:w="769" w:type="pct"/>
            <w:shd w:val="clear" w:color="auto" w:fill="auto"/>
            <w:vAlign w:val="center"/>
          </w:tcPr>
          <w:p w14:paraId="2833D166" w14:textId="77777777" w:rsidR="003261C2" w:rsidRPr="00EF0794" w:rsidRDefault="003261C2" w:rsidP="007E3638">
            <w:pPr>
              <w:jc w:val="right"/>
              <w:rPr>
                <w:b/>
                <w:color w:val="000000"/>
                <w:szCs w:val="21"/>
              </w:rPr>
            </w:pPr>
            <w:r w:rsidRPr="00EF0794">
              <w:rPr>
                <w:b/>
                <w:color w:val="000000"/>
                <w:szCs w:val="21"/>
              </w:rPr>
              <w:t>100%</w:t>
            </w:r>
          </w:p>
        </w:tc>
        <w:tc>
          <w:tcPr>
            <w:tcW w:w="815" w:type="pct"/>
            <w:shd w:val="clear" w:color="auto" w:fill="auto"/>
            <w:vAlign w:val="center"/>
          </w:tcPr>
          <w:p w14:paraId="66F4FD16" w14:textId="77777777" w:rsidR="003261C2" w:rsidRPr="00EF0794" w:rsidRDefault="003261C2" w:rsidP="007E3638">
            <w:pPr>
              <w:jc w:val="right"/>
              <w:rPr>
                <w:b/>
                <w:color w:val="000000"/>
                <w:szCs w:val="21"/>
              </w:rPr>
            </w:pPr>
            <w:r w:rsidRPr="00EF0794">
              <w:rPr>
                <w:b/>
                <w:color w:val="000000"/>
                <w:szCs w:val="21"/>
              </w:rPr>
              <w:t>0.08144%</w:t>
            </w:r>
          </w:p>
        </w:tc>
      </w:tr>
    </w:tbl>
    <w:p w14:paraId="674DD02D" w14:textId="4C93234A" w:rsidR="003261C2" w:rsidRPr="00EF0794" w:rsidRDefault="006D6071" w:rsidP="003261C2">
      <w:pPr>
        <w:ind w:firstLineChars="200" w:firstLine="420"/>
        <w:rPr>
          <w:szCs w:val="21"/>
        </w:rPr>
      </w:pPr>
      <w:r w:rsidRPr="00EF0794">
        <w:rPr>
          <w:szCs w:val="21"/>
        </w:rPr>
        <w:t>注：</w:t>
      </w:r>
      <w:r w:rsidRPr="00EF0794">
        <w:rPr>
          <w:rFonts w:ascii="宋体" w:hAnsi="宋体" w:cs="宋体" w:hint="eastAsia"/>
          <w:szCs w:val="21"/>
        </w:rPr>
        <w:t>①</w:t>
      </w:r>
      <w:r w:rsidRPr="00EF0794">
        <w:rPr>
          <w:szCs w:val="21"/>
        </w:rPr>
        <w:t>上述任何一名激励对象通过全部有效的股权激励计划获授的本公司股票均未超过公司总股本的</w:t>
      </w:r>
      <w:r w:rsidRPr="00EF0794">
        <w:rPr>
          <w:szCs w:val="21"/>
        </w:rPr>
        <w:t>1%</w:t>
      </w:r>
      <w:r w:rsidRPr="00EF0794">
        <w:rPr>
          <w:szCs w:val="21"/>
        </w:rPr>
        <w:t>。公司所有在有效期内的股权激励计划所涉及的标的股票总数累计未超过公司股本总额的</w:t>
      </w:r>
      <w:r w:rsidRPr="00EF0794">
        <w:rPr>
          <w:szCs w:val="21"/>
        </w:rPr>
        <w:t>20%</w:t>
      </w:r>
      <w:r w:rsidRPr="00EF0794">
        <w:rPr>
          <w:szCs w:val="21"/>
        </w:rPr>
        <w:t>；</w:t>
      </w:r>
      <w:r w:rsidRPr="00EF0794">
        <w:rPr>
          <w:rFonts w:ascii="宋体" w:hAnsi="宋体" w:cs="宋体" w:hint="eastAsia"/>
          <w:szCs w:val="21"/>
        </w:rPr>
        <w:t>②</w:t>
      </w:r>
      <w:r w:rsidRPr="00EF0794">
        <w:rPr>
          <w:szCs w:val="21"/>
        </w:rPr>
        <w:t>本激励计划激励对象不包括独立董事、监事及单独或合计持有公司</w:t>
      </w:r>
      <w:r w:rsidRPr="00EF0794">
        <w:rPr>
          <w:szCs w:val="21"/>
        </w:rPr>
        <w:t>5%</w:t>
      </w:r>
      <w:r w:rsidRPr="00EF0794">
        <w:rPr>
          <w:szCs w:val="21"/>
        </w:rPr>
        <w:t>以上股份的股东或实际控制人及其配偶、父母、子女；</w:t>
      </w:r>
      <w:r w:rsidRPr="00EF0794">
        <w:rPr>
          <w:rFonts w:ascii="宋体" w:hAnsi="宋体" w:cs="宋体" w:hint="eastAsia"/>
          <w:szCs w:val="21"/>
        </w:rPr>
        <w:t>③</w:t>
      </w:r>
      <w:r w:rsidRPr="00EF0794">
        <w:rPr>
          <w:szCs w:val="21"/>
        </w:rPr>
        <w:t>上表中数值若出现总数与各分项数值之和尾数不符，均为四舍五入原因所致。</w:t>
      </w:r>
    </w:p>
    <w:p w14:paraId="2F38420A" w14:textId="77777777" w:rsidR="003261C2" w:rsidRPr="00EF0794" w:rsidRDefault="003261C2" w:rsidP="003261C2">
      <w:pPr>
        <w:spacing w:beforeLines="50" w:before="156" w:afterLines="50" w:after="156" w:line="300" w:lineRule="auto"/>
        <w:ind w:firstLineChars="200" w:firstLine="480"/>
        <w:rPr>
          <w:color w:val="000000"/>
          <w:kern w:val="0"/>
          <w:sz w:val="24"/>
        </w:rPr>
      </w:pPr>
      <w:r w:rsidRPr="00EF0794">
        <w:rPr>
          <w:color w:val="000000"/>
          <w:kern w:val="0"/>
          <w:sz w:val="24"/>
        </w:rPr>
        <w:t>（</w:t>
      </w:r>
      <w:r w:rsidRPr="00EF0794">
        <w:rPr>
          <w:color w:val="000000"/>
          <w:kern w:val="0"/>
          <w:sz w:val="24"/>
        </w:rPr>
        <w:t>2</w:t>
      </w:r>
      <w:r w:rsidRPr="00EF0794">
        <w:rPr>
          <w:color w:val="000000"/>
          <w:kern w:val="0"/>
          <w:sz w:val="24"/>
        </w:rPr>
        <w:t>）预留股票期权在各激励对象间的分配情况如下表所示：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702"/>
        <w:gridCol w:w="1171"/>
        <w:gridCol w:w="1375"/>
        <w:gridCol w:w="1276"/>
        <w:gridCol w:w="1352"/>
      </w:tblGrid>
      <w:tr w:rsidR="003261C2" w:rsidRPr="00EF0794" w14:paraId="20263ADD" w14:textId="77777777" w:rsidTr="007807F2">
        <w:trPr>
          <w:cantSplit/>
          <w:trHeight w:val="397"/>
        </w:trPr>
        <w:tc>
          <w:tcPr>
            <w:tcW w:w="855" w:type="pct"/>
            <w:shd w:val="clear" w:color="auto" w:fill="D9D9D9"/>
            <w:vAlign w:val="center"/>
          </w:tcPr>
          <w:p w14:paraId="1C4A3E7F" w14:textId="77777777" w:rsidR="003261C2" w:rsidRPr="00EF0794" w:rsidRDefault="003261C2" w:rsidP="007E3638">
            <w:pPr>
              <w:jc w:val="center"/>
              <w:rPr>
                <w:b/>
                <w:color w:val="000000"/>
              </w:rPr>
            </w:pPr>
            <w:r w:rsidRPr="00EF0794">
              <w:rPr>
                <w:b/>
                <w:color w:val="000000"/>
              </w:rPr>
              <w:t>姓名</w:t>
            </w:r>
          </w:p>
        </w:tc>
        <w:tc>
          <w:tcPr>
            <w:tcW w:w="1026" w:type="pct"/>
            <w:shd w:val="clear" w:color="auto" w:fill="D9D9D9"/>
            <w:vAlign w:val="center"/>
          </w:tcPr>
          <w:p w14:paraId="674C3ED7" w14:textId="77777777" w:rsidR="003261C2" w:rsidRPr="00EF0794" w:rsidRDefault="003261C2" w:rsidP="007E3638">
            <w:pPr>
              <w:jc w:val="center"/>
              <w:rPr>
                <w:b/>
                <w:color w:val="000000"/>
              </w:rPr>
            </w:pPr>
            <w:r w:rsidRPr="00EF0794">
              <w:rPr>
                <w:b/>
                <w:color w:val="000000"/>
              </w:rPr>
              <w:t>职务</w:t>
            </w:r>
          </w:p>
        </w:tc>
        <w:tc>
          <w:tcPr>
            <w:tcW w:w="705" w:type="pct"/>
            <w:shd w:val="clear" w:color="auto" w:fill="D9D9D9"/>
            <w:vAlign w:val="center"/>
          </w:tcPr>
          <w:p w14:paraId="73139A7D" w14:textId="77777777" w:rsidR="003261C2" w:rsidRPr="00EF0794" w:rsidRDefault="003261C2" w:rsidP="007E3638">
            <w:pPr>
              <w:jc w:val="center"/>
              <w:rPr>
                <w:b/>
                <w:color w:val="000000"/>
              </w:rPr>
            </w:pPr>
            <w:r w:rsidRPr="00EF0794">
              <w:rPr>
                <w:b/>
                <w:color w:val="000000"/>
              </w:rPr>
              <w:t>国籍</w:t>
            </w:r>
          </w:p>
        </w:tc>
        <w:tc>
          <w:tcPr>
            <w:tcW w:w="829" w:type="pct"/>
            <w:shd w:val="clear" w:color="auto" w:fill="D9D9D9"/>
            <w:vAlign w:val="center"/>
          </w:tcPr>
          <w:p w14:paraId="521AAC30" w14:textId="77777777" w:rsidR="003261C2" w:rsidRPr="00EF0794" w:rsidRDefault="003261C2" w:rsidP="007E3638">
            <w:pPr>
              <w:jc w:val="center"/>
              <w:textAlignment w:val="center"/>
              <w:rPr>
                <w:b/>
                <w:bCs/>
                <w:color w:val="000000"/>
              </w:rPr>
            </w:pPr>
            <w:r w:rsidRPr="00EF0794">
              <w:rPr>
                <w:b/>
                <w:bCs/>
                <w:color w:val="000000"/>
              </w:rPr>
              <w:t>获</w:t>
            </w:r>
            <w:proofErr w:type="gramStart"/>
            <w:r w:rsidRPr="00EF0794">
              <w:rPr>
                <w:b/>
                <w:bCs/>
                <w:color w:val="000000"/>
              </w:rPr>
              <w:t>授股票</w:t>
            </w:r>
            <w:proofErr w:type="gramEnd"/>
            <w:r w:rsidRPr="00EF0794">
              <w:rPr>
                <w:b/>
                <w:bCs/>
                <w:color w:val="000000"/>
              </w:rPr>
              <w:t>期权的数量</w:t>
            </w:r>
          </w:p>
          <w:p w14:paraId="644C942A" w14:textId="77777777" w:rsidR="003261C2" w:rsidRPr="00EF0794" w:rsidRDefault="003261C2" w:rsidP="007E3638">
            <w:pPr>
              <w:spacing w:line="276" w:lineRule="auto"/>
              <w:jc w:val="center"/>
              <w:rPr>
                <w:b/>
                <w:color w:val="000000"/>
              </w:rPr>
            </w:pPr>
            <w:r w:rsidRPr="00EF0794">
              <w:rPr>
                <w:b/>
                <w:bCs/>
                <w:color w:val="000000"/>
              </w:rPr>
              <w:t>(</w:t>
            </w:r>
            <w:r w:rsidRPr="00EF0794">
              <w:rPr>
                <w:b/>
                <w:bCs/>
                <w:color w:val="000000"/>
              </w:rPr>
              <w:t>万份</w:t>
            </w:r>
            <w:r w:rsidRPr="00EF0794">
              <w:rPr>
                <w:b/>
                <w:bCs/>
                <w:color w:val="000000"/>
              </w:rPr>
              <w:t>)</w:t>
            </w:r>
          </w:p>
        </w:tc>
        <w:tc>
          <w:tcPr>
            <w:tcW w:w="769" w:type="pct"/>
            <w:shd w:val="clear" w:color="auto" w:fill="D9D9D9"/>
            <w:vAlign w:val="center"/>
          </w:tcPr>
          <w:p w14:paraId="68DCEA38" w14:textId="77777777" w:rsidR="003261C2" w:rsidRPr="00EF0794" w:rsidRDefault="003261C2" w:rsidP="007E3638">
            <w:pPr>
              <w:spacing w:line="276" w:lineRule="auto"/>
              <w:jc w:val="center"/>
              <w:rPr>
                <w:b/>
                <w:color w:val="000000"/>
              </w:rPr>
            </w:pPr>
            <w:r w:rsidRPr="00EF0794">
              <w:rPr>
                <w:b/>
                <w:bCs/>
                <w:color w:val="000000"/>
              </w:rPr>
              <w:t>占预留授予股票期权总数的比例</w:t>
            </w:r>
          </w:p>
        </w:tc>
        <w:tc>
          <w:tcPr>
            <w:tcW w:w="815" w:type="pct"/>
            <w:shd w:val="clear" w:color="auto" w:fill="D9D9D9"/>
            <w:vAlign w:val="center"/>
          </w:tcPr>
          <w:p w14:paraId="7E1253CF" w14:textId="77777777" w:rsidR="003261C2" w:rsidRPr="00EF0794" w:rsidRDefault="003261C2" w:rsidP="007E3638">
            <w:pPr>
              <w:spacing w:line="276" w:lineRule="auto"/>
              <w:jc w:val="center"/>
              <w:rPr>
                <w:b/>
                <w:color w:val="000000"/>
              </w:rPr>
            </w:pPr>
            <w:r w:rsidRPr="00EF0794">
              <w:rPr>
                <w:b/>
                <w:bCs/>
                <w:color w:val="000000"/>
              </w:rPr>
              <w:t>占授予时股本总额的比例</w:t>
            </w:r>
          </w:p>
        </w:tc>
      </w:tr>
      <w:tr w:rsidR="003261C2" w:rsidRPr="00EF0794" w14:paraId="6FF5F915" w14:textId="77777777" w:rsidTr="007807F2">
        <w:trPr>
          <w:cantSplit/>
          <w:trHeight w:val="397"/>
        </w:trPr>
        <w:tc>
          <w:tcPr>
            <w:tcW w:w="2587" w:type="pct"/>
            <w:gridSpan w:val="3"/>
            <w:vAlign w:val="center"/>
          </w:tcPr>
          <w:p w14:paraId="75AD0421" w14:textId="77777777" w:rsidR="003261C2" w:rsidRPr="00EF0794" w:rsidRDefault="003261C2" w:rsidP="007E3638">
            <w:pPr>
              <w:jc w:val="center"/>
              <w:rPr>
                <w:color w:val="000000"/>
              </w:rPr>
            </w:pPr>
            <w:r w:rsidRPr="00EF0794">
              <w:rPr>
                <w:color w:val="000000"/>
              </w:rPr>
              <w:t>中层管理人员（共</w:t>
            </w:r>
            <w:r w:rsidRPr="00EF0794">
              <w:rPr>
                <w:color w:val="000000"/>
              </w:rPr>
              <w:t>71</w:t>
            </w:r>
            <w:r w:rsidRPr="00EF0794">
              <w:rPr>
                <w:color w:val="000000"/>
              </w:rPr>
              <w:t>人）</w:t>
            </w:r>
          </w:p>
        </w:tc>
        <w:tc>
          <w:tcPr>
            <w:tcW w:w="829" w:type="pct"/>
            <w:shd w:val="clear" w:color="auto" w:fill="auto"/>
            <w:vAlign w:val="center"/>
          </w:tcPr>
          <w:p w14:paraId="098449A6" w14:textId="77777777" w:rsidR="003261C2" w:rsidRPr="00EF0794" w:rsidRDefault="003261C2" w:rsidP="007E3638">
            <w:pPr>
              <w:jc w:val="right"/>
              <w:rPr>
                <w:color w:val="000000"/>
              </w:rPr>
            </w:pPr>
            <w:r w:rsidRPr="00EF0794">
              <w:rPr>
                <w:color w:val="000000"/>
              </w:rPr>
              <w:t xml:space="preserve">  51.3800  </w:t>
            </w:r>
          </w:p>
        </w:tc>
        <w:tc>
          <w:tcPr>
            <w:tcW w:w="769" w:type="pct"/>
            <w:shd w:val="clear" w:color="auto" w:fill="auto"/>
            <w:vAlign w:val="center"/>
          </w:tcPr>
          <w:p w14:paraId="330A08E6" w14:textId="77777777" w:rsidR="003261C2" w:rsidRPr="00EF0794" w:rsidRDefault="003261C2" w:rsidP="007E3638">
            <w:pPr>
              <w:jc w:val="right"/>
              <w:rPr>
                <w:color w:val="000000"/>
              </w:rPr>
            </w:pPr>
            <w:r w:rsidRPr="00EF0794">
              <w:rPr>
                <w:color w:val="000000"/>
              </w:rPr>
              <w:t>100.00%</w:t>
            </w:r>
          </w:p>
        </w:tc>
        <w:tc>
          <w:tcPr>
            <w:tcW w:w="815" w:type="pct"/>
            <w:shd w:val="clear" w:color="auto" w:fill="auto"/>
            <w:vAlign w:val="center"/>
          </w:tcPr>
          <w:p w14:paraId="23041DBF" w14:textId="77777777" w:rsidR="003261C2" w:rsidRPr="00EF0794" w:rsidRDefault="003261C2" w:rsidP="007E3638">
            <w:pPr>
              <w:jc w:val="right"/>
              <w:rPr>
                <w:color w:val="000000"/>
              </w:rPr>
            </w:pPr>
            <w:r w:rsidRPr="00EF0794">
              <w:rPr>
                <w:color w:val="000000"/>
              </w:rPr>
              <w:t>0.02204%</w:t>
            </w:r>
          </w:p>
        </w:tc>
      </w:tr>
      <w:tr w:rsidR="003261C2" w:rsidRPr="00EF0794" w14:paraId="6A6EBA1D" w14:textId="77777777" w:rsidTr="007807F2">
        <w:trPr>
          <w:cantSplit/>
          <w:trHeight w:val="397"/>
        </w:trPr>
        <w:tc>
          <w:tcPr>
            <w:tcW w:w="2587" w:type="pct"/>
            <w:gridSpan w:val="3"/>
            <w:vAlign w:val="center"/>
          </w:tcPr>
          <w:p w14:paraId="4A618C85" w14:textId="77777777" w:rsidR="003261C2" w:rsidRPr="00EF0794" w:rsidRDefault="003261C2" w:rsidP="007E3638">
            <w:pPr>
              <w:jc w:val="center"/>
              <w:rPr>
                <w:b/>
                <w:color w:val="000000"/>
              </w:rPr>
            </w:pPr>
            <w:r w:rsidRPr="00EF0794">
              <w:rPr>
                <w:b/>
                <w:color w:val="000000"/>
              </w:rPr>
              <w:t>合计（</w:t>
            </w:r>
            <w:r w:rsidRPr="00EF0794">
              <w:rPr>
                <w:b/>
                <w:color w:val="000000"/>
              </w:rPr>
              <w:t>71</w:t>
            </w:r>
            <w:r w:rsidRPr="00EF0794">
              <w:rPr>
                <w:b/>
                <w:color w:val="000000"/>
              </w:rPr>
              <w:t>人）</w:t>
            </w:r>
          </w:p>
        </w:tc>
        <w:tc>
          <w:tcPr>
            <w:tcW w:w="829" w:type="pct"/>
            <w:shd w:val="clear" w:color="auto" w:fill="auto"/>
            <w:vAlign w:val="center"/>
          </w:tcPr>
          <w:p w14:paraId="1B58A7C1" w14:textId="77777777" w:rsidR="003261C2" w:rsidRPr="00EF0794" w:rsidRDefault="003261C2" w:rsidP="007E3638">
            <w:pPr>
              <w:jc w:val="right"/>
              <w:rPr>
                <w:rFonts w:eastAsia="等线"/>
                <w:b/>
                <w:color w:val="000000"/>
              </w:rPr>
            </w:pPr>
            <w:r w:rsidRPr="00EF0794">
              <w:rPr>
                <w:b/>
                <w:color w:val="000000"/>
              </w:rPr>
              <w:t xml:space="preserve">51.3800  </w:t>
            </w:r>
          </w:p>
        </w:tc>
        <w:tc>
          <w:tcPr>
            <w:tcW w:w="769" w:type="pct"/>
            <w:shd w:val="clear" w:color="auto" w:fill="auto"/>
            <w:vAlign w:val="center"/>
          </w:tcPr>
          <w:p w14:paraId="33285DFF" w14:textId="77777777" w:rsidR="003261C2" w:rsidRPr="00EF0794" w:rsidRDefault="003261C2" w:rsidP="007E3638">
            <w:pPr>
              <w:jc w:val="right"/>
              <w:rPr>
                <w:b/>
                <w:color w:val="000000"/>
              </w:rPr>
            </w:pPr>
            <w:r w:rsidRPr="00EF0794">
              <w:rPr>
                <w:b/>
                <w:color w:val="000000"/>
              </w:rPr>
              <w:t>100.00%</w:t>
            </w:r>
          </w:p>
        </w:tc>
        <w:tc>
          <w:tcPr>
            <w:tcW w:w="815" w:type="pct"/>
            <w:shd w:val="clear" w:color="auto" w:fill="auto"/>
            <w:vAlign w:val="center"/>
          </w:tcPr>
          <w:p w14:paraId="2EAAD309" w14:textId="77777777" w:rsidR="003261C2" w:rsidRPr="00EF0794" w:rsidRDefault="003261C2" w:rsidP="007E3638">
            <w:pPr>
              <w:widowControl/>
              <w:jc w:val="right"/>
              <w:rPr>
                <w:rFonts w:eastAsia="等线"/>
                <w:b/>
                <w:bCs/>
                <w:color w:val="000000"/>
                <w:kern w:val="0"/>
              </w:rPr>
            </w:pPr>
            <w:r w:rsidRPr="00EF0794">
              <w:rPr>
                <w:rFonts w:eastAsia="等线"/>
                <w:b/>
                <w:bCs/>
                <w:color w:val="000000"/>
              </w:rPr>
              <w:t>0.02204%</w:t>
            </w:r>
          </w:p>
        </w:tc>
      </w:tr>
    </w:tbl>
    <w:p w14:paraId="1555D98C" w14:textId="656B4801" w:rsidR="003261C2" w:rsidRPr="00EF0794" w:rsidRDefault="006D6071" w:rsidP="003261C2">
      <w:pPr>
        <w:ind w:firstLineChars="200" w:firstLine="420"/>
        <w:rPr>
          <w:szCs w:val="21"/>
        </w:rPr>
      </w:pPr>
      <w:r w:rsidRPr="00EF0794">
        <w:rPr>
          <w:szCs w:val="21"/>
        </w:rPr>
        <w:t>注：</w:t>
      </w:r>
      <w:r w:rsidRPr="00EF0794">
        <w:rPr>
          <w:rFonts w:ascii="宋体" w:hAnsi="宋体" w:cs="宋体" w:hint="eastAsia"/>
          <w:szCs w:val="21"/>
        </w:rPr>
        <w:t>①</w:t>
      </w:r>
      <w:r w:rsidRPr="00EF0794">
        <w:rPr>
          <w:szCs w:val="21"/>
        </w:rPr>
        <w:t>上述任何一名激励对象通过全部有效的股权激励计划获授的本公司股票均未超过公司总股本的</w:t>
      </w:r>
      <w:r w:rsidRPr="00EF0794">
        <w:rPr>
          <w:szCs w:val="21"/>
        </w:rPr>
        <w:t>1%</w:t>
      </w:r>
      <w:r w:rsidRPr="00EF0794">
        <w:rPr>
          <w:szCs w:val="21"/>
        </w:rPr>
        <w:t>。公司所有在有效期内的股权激励计划所涉及的标的股票总数累计未超过公司股本总额的</w:t>
      </w:r>
      <w:r w:rsidRPr="00EF0794">
        <w:rPr>
          <w:szCs w:val="21"/>
        </w:rPr>
        <w:t>20%</w:t>
      </w:r>
      <w:r w:rsidRPr="00EF0794">
        <w:rPr>
          <w:szCs w:val="21"/>
        </w:rPr>
        <w:t>；</w:t>
      </w:r>
      <w:r w:rsidRPr="00EF0794">
        <w:rPr>
          <w:rFonts w:ascii="宋体" w:hAnsi="宋体" w:cs="宋体" w:hint="eastAsia"/>
          <w:szCs w:val="21"/>
        </w:rPr>
        <w:t>②</w:t>
      </w:r>
      <w:r w:rsidRPr="00EF0794">
        <w:rPr>
          <w:szCs w:val="21"/>
        </w:rPr>
        <w:t>本激励计划激励对象不包括独立董事、监事及单独或合计持有公司</w:t>
      </w:r>
      <w:r w:rsidRPr="00EF0794">
        <w:rPr>
          <w:szCs w:val="21"/>
        </w:rPr>
        <w:t>5%</w:t>
      </w:r>
      <w:r w:rsidRPr="00EF0794">
        <w:rPr>
          <w:szCs w:val="21"/>
        </w:rPr>
        <w:t>以上股份的股东或实际控制人及其配偶、父母、子女；</w:t>
      </w:r>
      <w:r w:rsidRPr="00EF0794">
        <w:rPr>
          <w:rFonts w:ascii="宋体" w:hAnsi="宋体" w:cs="宋体" w:hint="eastAsia"/>
          <w:szCs w:val="21"/>
        </w:rPr>
        <w:t>③</w:t>
      </w:r>
      <w:r w:rsidRPr="00EF0794">
        <w:rPr>
          <w:szCs w:val="21"/>
        </w:rPr>
        <w:t>上表中数值若出现总数与各分项数值之和尾数不符，均为四舍五入原因所致。</w:t>
      </w:r>
    </w:p>
    <w:p w14:paraId="19879792" w14:textId="3AFC931D" w:rsidR="003261C2" w:rsidRPr="00EF0794" w:rsidRDefault="00632629" w:rsidP="003261C2">
      <w:pPr>
        <w:autoSpaceDE w:val="0"/>
        <w:autoSpaceDN w:val="0"/>
        <w:spacing w:beforeLines="50" w:before="156" w:line="360" w:lineRule="auto"/>
        <w:ind w:firstLineChars="200" w:firstLine="480"/>
        <w:rPr>
          <w:kern w:val="0"/>
          <w:sz w:val="24"/>
        </w:rPr>
      </w:pPr>
      <w:r w:rsidRPr="00EF0794">
        <w:rPr>
          <w:kern w:val="0"/>
          <w:sz w:val="24"/>
        </w:rPr>
        <w:t>6</w:t>
      </w:r>
      <w:r w:rsidRPr="00EF0794">
        <w:rPr>
          <w:kern w:val="0"/>
          <w:sz w:val="24"/>
        </w:rPr>
        <w:t>、</w:t>
      </w:r>
      <w:r w:rsidR="007807F2" w:rsidRPr="00EF0794">
        <w:rPr>
          <w:kern w:val="0"/>
          <w:sz w:val="24"/>
        </w:rPr>
        <w:t>授权日后调整情况：</w:t>
      </w:r>
      <w:r w:rsidR="003261C2" w:rsidRPr="00EF0794">
        <w:rPr>
          <w:kern w:val="0"/>
          <w:sz w:val="24"/>
        </w:rPr>
        <w:t>公司董事会确定本激励计划的授权日后，在办理股票期权授予登记过程中，首次授予部分</w:t>
      </w:r>
      <w:r w:rsidR="003261C2" w:rsidRPr="00EF0794">
        <w:rPr>
          <w:kern w:val="0"/>
          <w:sz w:val="24"/>
        </w:rPr>
        <w:t>2</w:t>
      </w:r>
      <w:r w:rsidR="003261C2" w:rsidRPr="00EF0794">
        <w:rPr>
          <w:kern w:val="0"/>
          <w:sz w:val="24"/>
        </w:rPr>
        <w:t>名激励对象因离职失去激励资格，公司取消向上述</w:t>
      </w:r>
      <w:r w:rsidR="003261C2" w:rsidRPr="00EF0794">
        <w:rPr>
          <w:kern w:val="0"/>
          <w:sz w:val="24"/>
        </w:rPr>
        <w:t>2</w:t>
      </w:r>
      <w:r w:rsidR="003261C2" w:rsidRPr="00EF0794">
        <w:rPr>
          <w:kern w:val="0"/>
          <w:sz w:val="24"/>
        </w:rPr>
        <w:t>名激励对象授予的股票期权共计</w:t>
      </w:r>
      <w:r w:rsidR="003261C2" w:rsidRPr="00EF0794">
        <w:rPr>
          <w:kern w:val="0"/>
          <w:sz w:val="24"/>
        </w:rPr>
        <w:t>1.9460</w:t>
      </w:r>
      <w:r w:rsidR="003261C2" w:rsidRPr="00EF0794">
        <w:rPr>
          <w:kern w:val="0"/>
          <w:sz w:val="24"/>
        </w:rPr>
        <w:t>万份。因此，公司本次激励计划实际向</w:t>
      </w:r>
      <w:r w:rsidR="003261C2" w:rsidRPr="00EF0794">
        <w:rPr>
          <w:kern w:val="0"/>
          <w:sz w:val="24"/>
        </w:rPr>
        <w:t>277</w:t>
      </w:r>
      <w:r w:rsidR="003261C2" w:rsidRPr="00EF0794">
        <w:rPr>
          <w:kern w:val="0"/>
          <w:sz w:val="24"/>
        </w:rPr>
        <w:t>名首次授予部分激励对象授予</w:t>
      </w:r>
      <w:r w:rsidR="003261C2" w:rsidRPr="00EF0794">
        <w:rPr>
          <w:kern w:val="0"/>
          <w:sz w:val="24"/>
        </w:rPr>
        <w:t>187.8790</w:t>
      </w:r>
      <w:r w:rsidR="003261C2" w:rsidRPr="00EF0794">
        <w:rPr>
          <w:kern w:val="0"/>
          <w:sz w:val="24"/>
        </w:rPr>
        <w:t>万份股票期权、向</w:t>
      </w:r>
      <w:r w:rsidR="003261C2" w:rsidRPr="00EF0794">
        <w:rPr>
          <w:kern w:val="0"/>
          <w:sz w:val="24"/>
        </w:rPr>
        <w:t>71</w:t>
      </w:r>
      <w:r w:rsidR="003261C2" w:rsidRPr="00EF0794">
        <w:rPr>
          <w:kern w:val="0"/>
          <w:sz w:val="24"/>
        </w:rPr>
        <w:t>名预留授予部分激励对象授予</w:t>
      </w:r>
      <w:r w:rsidR="003261C2" w:rsidRPr="00EF0794">
        <w:rPr>
          <w:kern w:val="0"/>
          <w:sz w:val="24"/>
        </w:rPr>
        <w:t>51.38</w:t>
      </w:r>
      <w:r w:rsidR="003261C2" w:rsidRPr="00EF0794">
        <w:rPr>
          <w:kern w:val="0"/>
          <w:sz w:val="24"/>
        </w:rPr>
        <w:t>万份股票期权，合计授予</w:t>
      </w:r>
      <w:r w:rsidR="003261C2" w:rsidRPr="00EF0794">
        <w:rPr>
          <w:kern w:val="0"/>
          <w:sz w:val="24"/>
        </w:rPr>
        <w:t>239.2590</w:t>
      </w:r>
      <w:r w:rsidR="003261C2" w:rsidRPr="00EF0794">
        <w:rPr>
          <w:kern w:val="0"/>
          <w:sz w:val="24"/>
        </w:rPr>
        <w:t>万份股票期权。</w:t>
      </w:r>
    </w:p>
    <w:p w14:paraId="742B5A92" w14:textId="7EC9E557" w:rsidR="0076233B" w:rsidRPr="00EF0794" w:rsidRDefault="0076233B" w:rsidP="0076233B">
      <w:pPr>
        <w:spacing w:beforeLines="50" w:before="156" w:afterLines="50" w:after="156" w:line="360" w:lineRule="auto"/>
        <w:ind w:firstLineChars="200" w:firstLine="482"/>
        <w:rPr>
          <w:b/>
          <w:bCs/>
          <w:sz w:val="24"/>
        </w:rPr>
      </w:pPr>
      <w:r w:rsidRPr="00EF0794">
        <w:rPr>
          <w:b/>
          <w:bCs/>
          <w:sz w:val="24"/>
        </w:rPr>
        <w:lastRenderedPageBreak/>
        <w:t>二、公司</w:t>
      </w:r>
      <w:r w:rsidR="00A91108" w:rsidRPr="00EF0794">
        <w:rPr>
          <w:b/>
          <w:bCs/>
          <w:sz w:val="24"/>
        </w:rPr>
        <w:t>2021</w:t>
      </w:r>
      <w:r w:rsidR="00A91108" w:rsidRPr="00EF0794">
        <w:rPr>
          <w:b/>
          <w:bCs/>
          <w:sz w:val="24"/>
        </w:rPr>
        <w:t>年激励计划</w:t>
      </w:r>
      <w:r w:rsidRPr="00EF0794">
        <w:rPr>
          <w:b/>
          <w:bCs/>
          <w:sz w:val="24"/>
        </w:rPr>
        <w:t>第一个行权期行权条件成就的说明</w:t>
      </w:r>
    </w:p>
    <w:p w14:paraId="309D8913" w14:textId="1DAE6D8C" w:rsidR="007632D5" w:rsidRPr="00EF0794" w:rsidRDefault="007632D5" w:rsidP="007632D5">
      <w:pPr>
        <w:spacing w:beforeLines="50" w:before="156" w:line="360" w:lineRule="auto"/>
        <w:ind w:firstLineChars="200" w:firstLine="482"/>
        <w:outlineLvl w:val="1"/>
        <w:rPr>
          <w:b/>
          <w:sz w:val="24"/>
        </w:rPr>
      </w:pPr>
      <w:r w:rsidRPr="00EF0794">
        <w:rPr>
          <w:b/>
          <w:sz w:val="24"/>
        </w:rPr>
        <w:t>（一）董事会就股票期权行权条件是否成就的审议情况</w:t>
      </w:r>
    </w:p>
    <w:p w14:paraId="26A05ABF" w14:textId="6D279BA4" w:rsidR="007632D5" w:rsidRPr="00EF0794" w:rsidRDefault="007632D5" w:rsidP="007632D5">
      <w:pPr>
        <w:spacing w:beforeLines="50" w:before="156" w:line="360" w:lineRule="auto"/>
        <w:ind w:firstLineChars="200" w:firstLine="480"/>
        <w:rPr>
          <w:sz w:val="24"/>
        </w:rPr>
      </w:pPr>
      <w:r w:rsidRPr="00EF0794">
        <w:rPr>
          <w:sz w:val="24"/>
        </w:rPr>
        <w:t>2022</w:t>
      </w:r>
      <w:r w:rsidRPr="00EF0794">
        <w:rPr>
          <w:sz w:val="24"/>
        </w:rPr>
        <w:t>年</w:t>
      </w:r>
      <w:r w:rsidRPr="00EF0794">
        <w:rPr>
          <w:sz w:val="24"/>
        </w:rPr>
        <w:t>10</w:t>
      </w:r>
      <w:r w:rsidRPr="00EF0794">
        <w:rPr>
          <w:sz w:val="24"/>
        </w:rPr>
        <w:t>月</w:t>
      </w:r>
      <w:r w:rsidRPr="00EF0794">
        <w:rPr>
          <w:sz w:val="24"/>
        </w:rPr>
        <w:t>21</w:t>
      </w:r>
      <w:r w:rsidRPr="00EF0794">
        <w:rPr>
          <w:sz w:val="24"/>
        </w:rPr>
        <w:t>日，公司召开第三届董事会第十四次会议，审议通过《关于</w:t>
      </w:r>
      <w:r w:rsidRPr="00EF0794">
        <w:rPr>
          <w:sz w:val="24"/>
        </w:rPr>
        <w:t>2021</w:t>
      </w:r>
      <w:r w:rsidRPr="00EF0794">
        <w:rPr>
          <w:sz w:val="24"/>
        </w:rPr>
        <w:t>年股票期权与限制性股票激励计划之股票期权首次及预留授予第一个行权期行权条件成就的议案》。董事会认为公司</w:t>
      </w:r>
      <w:r w:rsidRPr="00EF0794">
        <w:rPr>
          <w:sz w:val="24"/>
        </w:rPr>
        <w:t>2021</w:t>
      </w:r>
      <w:r w:rsidRPr="00EF0794">
        <w:rPr>
          <w:sz w:val="24"/>
        </w:rPr>
        <w:t>年激励计划股票期权</w:t>
      </w:r>
      <w:r w:rsidRPr="00EF0794">
        <w:rPr>
          <w:kern w:val="0"/>
          <w:sz w:val="24"/>
        </w:rPr>
        <w:t>首次及预留授予第一个行权期行权条件已成就</w:t>
      </w:r>
      <w:r w:rsidRPr="00EF0794">
        <w:rPr>
          <w:sz w:val="24"/>
        </w:rPr>
        <w:t>，根据公司</w:t>
      </w:r>
      <w:r w:rsidRPr="00EF0794">
        <w:rPr>
          <w:sz w:val="24"/>
        </w:rPr>
        <w:t>2021</w:t>
      </w:r>
      <w:r w:rsidRPr="00EF0794">
        <w:rPr>
          <w:sz w:val="24"/>
        </w:rPr>
        <w:t>年第二次临时股东大会的授权，同意公司按照</w:t>
      </w:r>
      <w:r w:rsidRPr="00EF0794">
        <w:rPr>
          <w:sz w:val="24"/>
        </w:rPr>
        <w:t xml:space="preserve"> 2021</w:t>
      </w:r>
      <w:r w:rsidRPr="00EF0794">
        <w:rPr>
          <w:sz w:val="24"/>
        </w:rPr>
        <w:t>年激励计划的相关规定办理第一个行权期行权相关事宜。</w:t>
      </w:r>
    </w:p>
    <w:p w14:paraId="3E3E75B8" w14:textId="793DB6C7" w:rsidR="0076233B" w:rsidRPr="00EF0794" w:rsidRDefault="0076233B" w:rsidP="0076233B">
      <w:pPr>
        <w:spacing w:beforeLines="50" w:before="156" w:afterLines="50" w:after="156" w:line="360" w:lineRule="auto"/>
        <w:ind w:firstLineChars="200" w:firstLine="482"/>
        <w:rPr>
          <w:b/>
          <w:bCs/>
          <w:kern w:val="0"/>
          <w:sz w:val="24"/>
        </w:rPr>
      </w:pPr>
      <w:r w:rsidRPr="00EF0794">
        <w:rPr>
          <w:b/>
          <w:bCs/>
          <w:kern w:val="0"/>
          <w:sz w:val="24"/>
        </w:rPr>
        <w:t>（</w:t>
      </w:r>
      <w:r w:rsidR="007632D5" w:rsidRPr="00EF0794">
        <w:rPr>
          <w:b/>
          <w:bCs/>
          <w:kern w:val="0"/>
          <w:sz w:val="24"/>
        </w:rPr>
        <w:t>二</w:t>
      </w:r>
      <w:r w:rsidRPr="00EF0794">
        <w:rPr>
          <w:b/>
          <w:bCs/>
          <w:kern w:val="0"/>
          <w:sz w:val="24"/>
        </w:rPr>
        <w:t>）股票期权首次及预留授予第一个等待期说明</w:t>
      </w:r>
    </w:p>
    <w:p w14:paraId="7D36F639" w14:textId="77777777" w:rsidR="0076233B" w:rsidRPr="00EF0794" w:rsidRDefault="0076233B" w:rsidP="0076233B">
      <w:pPr>
        <w:autoSpaceDE w:val="0"/>
        <w:autoSpaceDN w:val="0"/>
        <w:spacing w:beforeLines="50" w:before="156" w:line="360" w:lineRule="auto"/>
        <w:ind w:firstLineChars="200" w:firstLine="480"/>
        <w:rPr>
          <w:kern w:val="0"/>
          <w:sz w:val="24"/>
        </w:rPr>
      </w:pPr>
      <w:r w:rsidRPr="00EF0794">
        <w:rPr>
          <w:kern w:val="0"/>
          <w:sz w:val="24"/>
        </w:rPr>
        <w:t>根据</w:t>
      </w:r>
      <w:r w:rsidRPr="00EF0794">
        <w:rPr>
          <w:kern w:val="0"/>
          <w:sz w:val="24"/>
        </w:rPr>
        <w:t>2021</w:t>
      </w:r>
      <w:r w:rsidRPr="00EF0794">
        <w:rPr>
          <w:kern w:val="0"/>
          <w:sz w:val="24"/>
        </w:rPr>
        <w:t>年激励计划的相关规定，首次授予及预留授予部分第一个等待期为</w:t>
      </w:r>
      <w:r w:rsidRPr="00EF0794">
        <w:rPr>
          <w:kern w:val="0"/>
          <w:sz w:val="24"/>
        </w:rPr>
        <w:t>“</w:t>
      </w:r>
      <w:r w:rsidRPr="00EF0794">
        <w:rPr>
          <w:kern w:val="0"/>
          <w:sz w:val="24"/>
        </w:rPr>
        <w:t>自相应部分股票期权授权之日起</w:t>
      </w:r>
      <w:r w:rsidRPr="00EF0794">
        <w:rPr>
          <w:kern w:val="0"/>
          <w:sz w:val="24"/>
        </w:rPr>
        <w:t>12</w:t>
      </w:r>
      <w:r w:rsidRPr="00EF0794">
        <w:rPr>
          <w:kern w:val="0"/>
          <w:sz w:val="24"/>
        </w:rPr>
        <w:t>个月后的首个交易日起至相应部分股票期权授权之日起</w:t>
      </w:r>
      <w:r w:rsidRPr="00EF0794">
        <w:rPr>
          <w:kern w:val="0"/>
          <w:sz w:val="24"/>
        </w:rPr>
        <w:t>24</w:t>
      </w:r>
      <w:r w:rsidRPr="00EF0794">
        <w:rPr>
          <w:kern w:val="0"/>
          <w:sz w:val="24"/>
        </w:rPr>
        <w:t>个月内的最后一个交易日当日止</w:t>
      </w:r>
      <w:r w:rsidRPr="00EF0794">
        <w:rPr>
          <w:kern w:val="0"/>
          <w:sz w:val="24"/>
        </w:rPr>
        <w:t>”</w:t>
      </w:r>
      <w:r w:rsidRPr="00EF0794">
        <w:rPr>
          <w:kern w:val="0"/>
          <w:sz w:val="24"/>
        </w:rPr>
        <w:t>。本次激励计划首次</w:t>
      </w:r>
      <w:r w:rsidRPr="00EF0794">
        <w:rPr>
          <w:kern w:val="0"/>
          <w:sz w:val="24"/>
        </w:rPr>
        <w:t>/</w:t>
      </w:r>
      <w:r w:rsidRPr="00EF0794">
        <w:rPr>
          <w:kern w:val="0"/>
          <w:sz w:val="24"/>
        </w:rPr>
        <w:t>预留授权日为</w:t>
      </w:r>
      <w:r w:rsidRPr="00EF0794">
        <w:rPr>
          <w:kern w:val="0"/>
          <w:sz w:val="24"/>
        </w:rPr>
        <w:t>2021</w:t>
      </w:r>
      <w:r w:rsidRPr="00EF0794">
        <w:rPr>
          <w:kern w:val="0"/>
          <w:sz w:val="24"/>
        </w:rPr>
        <w:t>年</w:t>
      </w:r>
      <w:r w:rsidRPr="00EF0794">
        <w:rPr>
          <w:kern w:val="0"/>
          <w:sz w:val="24"/>
        </w:rPr>
        <w:t>11</w:t>
      </w:r>
      <w:r w:rsidRPr="00EF0794">
        <w:rPr>
          <w:kern w:val="0"/>
          <w:sz w:val="24"/>
        </w:rPr>
        <w:t>月</w:t>
      </w:r>
      <w:r w:rsidRPr="00EF0794">
        <w:rPr>
          <w:kern w:val="0"/>
          <w:sz w:val="24"/>
        </w:rPr>
        <w:t>19</w:t>
      </w:r>
      <w:r w:rsidRPr="00EF0794">
        <w:rPr>
          <w:kern w:val="0"/>
          <w:sz w:val="24"/>
        </w:rPr>
        <w:t>日，因此本次激励计划首次授予及预留授予部分将于</w:t>
      </w:r>
      <w:r w:rsidRPr="00EF0794">
        <w:rPr>
          <w:kern w:val="0"/>
          <w:sz w:val="24"/>
        </w:rPr>
        <w:t>2022</w:t>
      </w:r>
      <w:r w:rsidRPr="00EF0794">
        <w:rPr>
          <w:kern w:val="0"/>
          <w:sz w:val="24"/>
        </w:rPr>
        <w:t>年</w:t>
      </w:r>
      <w:r w:rsidRPr="00EF0794">
        <w:rPr>
          <w:kern w:val="0"/>
          <w:sz w:val="24"/>
        </w:rPr>
        <w:t>11</w:t>
      </w:r>
      <w:r w:rsidRPr="00EF0794">
        <w:rPr>
          <w:kern w:val="0"/>
          <w:sz w:val="24"/>
        </w:rPr>
        <w:t>月</w:t>
      </w:r>
      <w:r w:rsidRPr="00EF0794">
        <w:rPr>
          <w:kern w:val="0"/>
          <w:sz w:val="24"/>
        </w:rPr>
        <w:t>19</w:t>
      </w:r>
      <w:r w:rsidRPr="00EF0794">
        <w:rPr>
          <w:kern w:val="0"/>
          <w:sz w:val="24"/>
        </w:rPr>
        <w:t>日进入第一个行权期。</w:t>
      </w:r>
    </w:p>
    <w:p w14:paraId="0F5B85D1" w14:textId="556A59F5" w:rsidR="0076233B" w:rsidRPr="00EF0794" w:rsidRDefault="007632D5" w:rsidP="007632D5">
      <w:pPr>
        <w:autoSpaceDE w:val="0"/>
        <w:autoSpaceDN w:val="0"/>
        <w:spacing w:beforeLines="50" w:before="156" w:line="360" w:lineRule="auto"/>
        <w:ind w:firstLineChars="200" w:firstLine="482"/>
        <w:rPr>
          <w:b/>
          <w:bCs/>
          <w:kern w:val="0"/>
          <w:sz w:val="24"/>
        </w:rPr>
      </w:pPr>
      <w:r w:rsidRPr="00EF0794">
        <w:rPr>
          <w:b/>
          <w:bCs/>
          <w:kern w:val="0"/>
          <w:sz w:val="24"/>
        </w:rPr>
        <w:t>（三</w:t>
      </w:r>
      <w:r w:rsidR="0076233B" w:rsidRPr="00EF0794">
        <w:rPr>
          <w:b/>
          <w:bCs/>
          <w:kern w:val="0"/>
          <w:sz w:val="24"/>
        </w:rPr>
        <w:t>）满足行权条件的情况说明</w:t>
      </w:r>
    </w:p>
    <w:tbl>
      <w:tblPr>
        <w:tblStyle w:val="a8"/>
        <w:tblW w:w="9225" w:type="dxa"/>
        <w:jc w:val="center"/>
        <w:tblLook w:val="04A0" w:firstRow="1" w:lastRow="0" w:firstColumn="1" w:lastColumn="0" w:noHBand="0" w:noVBand="1"/>
      </w:tblPr>
      <w:tblGrid>
        <w:gridCol w:w="6248"/>
        <w:gridCol w:w="2977"/>
      </w:tblGrid>
      <w:tr w:rsidR="0076233B" w:rsidRPr="00EF0794" w14:paraId="593E4F59" w14:textId="77777777" w:rsidTr="00EE34F2">
        <w:trPr>
          <w:trHeight w:val="371"/>
          <w:jc w:val="center"/>
        </w:trPr>
        <w:tc>
          <w:tcPr>
            <w:tcW w:w="6248" w:type="dxa"/>
            <w:shd w:val="clear" w:color="auto" w:fill="D9D9D9" w:themeFill="background1" w:themeFillShade="D9"/>
          </w:tcPr>
          <w:p w14:paraId="45294F22" w14:textId="2768FCE5" w:rsidR="0076233B" w:rsidRPr="00EF0794" w:rsidRDefault="00C93094" w:rsidP="00EE34F2">
            <w:pPr>
              <w:spacing w:beforeLines="50" w:before="156" w:afterLines="50" w:after="156" w:line="360" w:lineRule="auto"/>
              <w:jc w:val="center"/>
              <w:rPr>
                <w:b/>
                <w:szCs w:val="21"/>
              </w:rPr>
            </w:pPr>
            <w:r w:rsidRPr="00EF0794">
              <w:rPr>
                <w:b/>
                <w:szCs w:val="21"/>
              </w:rPr>
              <w:t>行权</w:t>
            </w:r>
            <w:r w:rsidR="0076233B" w:rsidRPr="00EF0794">
              <w:rPr>
                <w:b/>
                <w:szCs w:val="21"/>
              </w:rPr>
              <w:t>条件</w:t>
            </w:r>
          </w:p>
        </w:tc>
        <w:tc>
          <w:tcPr>
            <w:tcW w:w="2977" w:type="dxa"/>
            <w:shd w:val="clear" w:color="auto" w:fill="D9D9D9" w:themeFill="background1" w:themeFillShade="D9"/>
          </w:tcPr>
          <w:p w14:paraId="5CCDABA2" w14:textId="77777777" w:rsidR="0076233B" w:rsidRPr="00EF0794" w:rsidRDefault="0076233B" w:rsidP="00EE34F2">
            <w:pPr>
              <w:spacing w:beforeLines="50" w:before="156" w:afterLines="50" w:after="156" w:line="360" w:lineRule="auto"/>
              <w:jc w:val="center"/>
              <w:rPr>
                <w:b/>
                <w:szCs w:val="21"/>
              </w:rPr>
            </w:pPr>
            <w:r w:rsidRPr="00EF0794">
              <w:rPr>
                <w:b/>
                <w:szCs w:val="21"/>
              </w:rPr>
              <w:t>达成情况</w:t>
            </w:r>
          </w:p>
        </w:tc>
      </w:tr>
      <w:tr w:rsidR="0076233B" w:rsidRPr="00EF0794" w14:paraId="0B4EC67E" w14:textId="77777777" w:rsidTr="00EE34F2">
        <w:trPr>
          <w:trHeight w:val="163"/>
          <w:jc w:val="center"/>
        </w:trPr>
        <w:tc>
          <w:tcPr>
            <w:tcW w:w="6248" w:type="dxa"/>
          </w:tcPr>
          <w:p w14:paraId="4676FFF2" w14:textId="77777777" w:rsidR="0076233B" w:rsidRPr="00EF0794" w:rsidRDefault="0076233B" w:rsidP="00EE34F2">
            <w:pPr>
              <w:jc w:val="left"/>
              <w:rPr>
                <w:szCs w:val="21"/>
                <w:shd w:val="clear" w:color="auto" w:fill="FFFFFF"/>
              </w:rPr>
            </w:pPr>
            <w:r w:rsidRPr="00EF0794">
              <w:rPr>
                <w:szCs w:val="21"/>
                <w:shd w:val="clear" w:color="auto" w:fill="FFFFFF"/>
              </w:rPr>
              <w:t>（一）公司未发生如下任</w:t>
            </w:r>
            <w:proofErr w:type="gramStart"/>
            <w:r w:rsidRPr="00EF0794">
              <w:rPr>
                <w:szCs w:val="21"/>
                <w:shd w:val="clear" w:color="auto" w:fill="FFFFFF"/>
              </w:rPr>
              <w:t>一</w:t>
            </w:r>
            <w:proofErr w:type="gramEnd"/>
            <w:r w:rsidRPr="00EF0794">
              <w:rPr>
                <w:szCs w:val="21"/>
                <w:shd w:val="clear" w:color="auto" w:fill="FFFFFF"/>
              </w:rPr>
              <w:t>情形：</w:t>
            </w:r>
          </w:p>
          <w:p w14:paraId="5E45AEFE" w14:textId="77777777" w:rsidR="0076233B" w:rsidRPr="00EF0794" w:rsidRDefault="0076233B" w:rsidP="00EE34F2">
            <w:pPr>
              <w:jc w:val="left"/>
              <w:rPr>
                <w:szCs w:val="21"/>
              </w:rPr>
            </w:pPr>
            <w:r w:rsidRPr="00EF0794">
              <w:rPr>
                <w:szCs w:val="21"/>
              </w:rPr>
              <w:t>1</w:t>
            </w:r>
            <w:r w:rsidRPr="00EF0794">
              <w:rPr>
                <w:szCs w:val="21"/>
              </w:rPr>
              <w:t>、最近一个会计年度财务会计报告被注册会计师出具否定意见或者无法表示意见的审计报告；</w:t>
            </w:r>
          </w:p>
          <w:p w14:paraId="32573C70" w14:textId="77777777" w:rsidR="0076233B" w:rsidRPr="00EF0794" w:rsidRDefault="0076233B" w:rsidP="00EE34F2">
            <w:pPr>
              <w:jc w:val="left"/>
              <w:rPr>
                <w:szCs w:val="21"/>
              </w:rPr>
            </w:pPr>
            <w:r w:rsidRPr="00EF0794">
              <w:rPr>
                <w:szCs w:val="21"/>
              </w:rPr>
              <w:t>2</w:t>
            </w:r>
            <w:r w:rsidRPr="00EF0794">
              <w:rPr>
                <w:szCs w:val="21"/>
              </w:rPr>
              <w:t>、最近一个会计年度财务报告内部控制被注册会计师出具否定意见或无法表示意见的审计报告；</w:t>
            </w:r>
          </w:p>
          <w:p w14:paraId="57B65952" w14:textId="77777777" w:rsidR="0076233B" w:rsidRPr="00EF0794" w:rsidRDefault="0076233B" w:rsidP="00EE34F2">
            <w:pPr>
              <w:jc w:val="left"/>
              <w:rPr>
                <w:szCs w:val="21"/>
              </w:rPr>
            </w:pPr>
            <w:r w:rsidRPr="00EF0794">
              <w:rPr>
                <w:szCs w:val="21"/>
              </w:rPr>
              <w:t>3</w:t>
            </w:r>
            <w:r w:rsidRPr="00EF0794">
              <w:rPr>
                <w:szCs w:val="21"/>
              </w:rPr>
              <w:t>、上市后最近</w:t>
            </w:r>
            <w:r w:rsidRPr="00EF0794">
              <w:rPr>
                <w:szCs w:val="21"/>
              </w:rPr>
              <w:t>36</w:t>
            </w:r>
            <w:r w:rsidRPr="00EF0794">
              <w:rPr>
                <w:szCs w:val="21"/>
              </w:rPr>
              <w:t>个月内</w:t>
            </w:r>
            <w:proofErr w:type="gramStart"/>
            <w:r w:rsidRPr="00EF0794">
              <w:rPr>
                <w:szCs w:val="21"/>
              </w:rPr>
              <w:t>出现过未按</w:t>
            </w:r>
            <w:proofErr w:type="gramEnd"/>
            <w:r w:rsidRPr="00EF0794">
              <w:rPr>
                <w:szCs w:val="21"/>
              </w:rPr>
              <w:t>法律法规、《公司章程》、公开承诺进行利润分配的情形；</w:t>
            </w:r>
          </w:p>
          <w:p w14:paraId="098D8751" w14:textId="77777777" w:rsidR="0076233B" w:rsidRPr="00EF0794" w:rsidRDefault="0076233B" w:rsidP="00EE34F2">
            <w:pPr>
              <w:jc w:val="left"/>
              <w:rPr>
                <w:szCs w:val="21"/>
              </w:rPr>
            </w:pPr>
            <w:r w:rsidRPr="00EF0794">
              <w:rPr>
                <w:szCs w:val="21"/>
              </w:rPr>
              <w:t>4</w:t>
            </w:r>
            <w:r w:rsidRPr="00EF0794">
              <w:rPr>
                <w:szCs w:val="21"/>
              </w:rPr>
              <w:t>、法律法规规定不得实行股权激励的；</w:t>
            </w:r>
          </w:p>
          <w:p w14:paraId="158CF0D1" w14:textId="77777777" w:rsidR="0076233B" w:rsidRPr="00EF0794" w:rsidRDefault="0076233B" w:rsidP="00EE34F2">
            <w:pPr>
              <w:jc w:val="left"/>
              <w:rPr>
                <w:szCs w:val="21"/>
              </w:rPr>
            </w:pPr>
            <w:r w:rsidRPr="00EF0794">
              <w:rPr>
                <w:szCs w:val="21"/>
              </w:rPr>
              <w:t>5</w:t>
            </w:r>
            <w:r w:rsidRPr="00EF0794">
              <w:rPr>
                <w:szCs w:val="21"/>
              </w:rPr>
              <w:t>、中国证监会认定的其他情形。</w:t>
            </w:r>
          </w:p>
        </w:tc>
        <w:tc>
          <w:tcPr>
            <w:tcW w:w="2977" w:type="dxa"/>
            <w:vAlign w:val="center"/>
          </w:tcPr>
          <w:p w14:paraId="5AFF32DA" w14:textId="77777777" w:rsidR="0076233B" w:rsidRPr="00EF0794" w:rsidRDefault="0076233B" w:rsidP="00EE34F2">
            <w:pPr>
              <w:rPr>
                <w:szCs w:val="21"/>
              </w:rPr>
            </w:pPr>
            <w:r w:rsidRPr="00EF0794">
              <w:rPr>
                <w:szCs w:val="21"/>
                <w:shd w:val="clear" w:color="auto" w:fill="FFFFFF"/>
              </w:rPr>
              <w:t>公司未发生前述情形，符合行权条件。</w:t>
            </w:r>
          </w:p>
        </w:tc>
      </w:tr>
      <w:tr w:rsidR="0076233B" w:rsidRPr="00EF0794" w14:paraId="105724E1" w14:textId="77777777" w:rsidTr="00EE34F2">
        <w:trPr>
          <w:jc w:val="center"/>
        </w:trPr>
        <w:tc>
          <w:tcPr>
            <w:tcW w:w="6248" w:type="dxa"/>
          </w:tcPr>
          <w:p w14:paraId="68217576" w14:textId="77777777" w:rsidR="0076233B" w:rsidRPr="00EF0794" w:rsidRDefault="0076233B" w:rsidP="00EE34F2">
            <w:pPr>
              <w:rPr>
                <w:szCs w:val="21"/>
                <w:shd w:val="clear" w:color="auto" w:fill="FFFFFF"/>
              </w:rPr>
            </w:pPr>
            <w:r w:rsidRPr="00EF0794">
              <w:rPr>
                <w:szCs w:val="21"/>
              </w:rPr>
              <w:t>（二）</w:t>
            </w:r>
            <w:r w:rsidRPr="00EF0794">
              <w:rPr>
                <w:szCs w:val="21"/>
                <w:shd w:val="clear" w:color="auto" w:fill="FFFFFF"/>
              </w:rPr>
              <w:t>激励对象未发生如下任</w:t>
            </w:r>
            <w:proofErr w:type="gramStart"/>
            <w:r w:rsidRPr="00EF0794">
              <w:rPr>
                <w:szCs w:val="21"/>
                <w:shd w:val="clear" w:color="auto" w:fill="FFFFFF"/>
              </w:rPr>
              <w:t>一</w:t>
            </w:r>
            <w:proofErr w:type="gramEnd"/>
            <w:r w:rsidRPr="00EF0794">
              <w:rPr>
                <w:szCs w:val="21"/>
                <w:shd w:val="clear" w:color="auto" w:fill="FFFFFF"/>
              </w:rPr>
              <w:t>情形：</w:t>
            </w:r>
          </w:p>
          <w:p w14:paraId="66A417B7" w14:textId="77777777" w:rsidR="0076233B" w:rsidRPr="00EF0794" w:rsidRDefault="0076233B" w:rsidP="00EE34F2">
            <w:pPr>
              <w:rPr>
                <w:szCs w:val="21"/>
              </w:rPr>
            </w:pPr>
            <w:r w:rsidRPr="00EF0794">
              <w:rPr>
                <w:szCs w:val="21"/>
              </w:rPr>
              <w:t>1</w:t>
            </w:r>
            <w:r w:rsidRPr="00EF0794">
              <w:rPr>
                <w:szCs w:val="21"/>
              </w:rPr>
              <w:t>、最近</w:t>
            </w:r>
            <w:r w:rsidRPr="00EF0794">
              <w:rPr>
                <w:szCs w:val="21"/>
              </w:rPr>
              <w:t>12</w:t>
            </w:r>
            <w:r w:rsidRPr="00EF0794">
              <w:rPr>
                <w:szCs w:val="21"/>
              </w:rPr>
              <w:t>个月内被证券交易所认定为不适当人选；</w:t>
            </w:r>
          </w:p>
          <w:p w14:paraId="402EBE3E" w14:textId="77777777" w:rsidR="0076233B" w:rsidRPr="00EF0794" w:rsidRDefault="0076233B" w:rsidP="00EE34F2">
            <w:pPr>
              <w:rPr>
                <w:szCs w:val="21"/>
              </w:rPr>
            </w:pPr>
            <w:r w:rsidRPr="00EF0794">
              <w:rPr>
                <w:szCs w:val="21"/>
              </w:rPr>
              <w:t>2</w:t>
            </w:r>
            <w:r w:rsidRPr="00EF0794">
              <w:rPr>
                <w:szCs w:val="21"/>
              </w:rPr>
              <w:t>、最近</w:t>
            </w:r>
            <w:r w:rsidRPr="00EF0794">
              <w:rPr>
                <w:szCs w:val="21"/>
              </w:rPr>
              <w:t>12</w:t>
            </w:r>
            <w:r w:rsidRPr="00EF0794">
              <w:rPr>
                <w:szCs w:val="21"/>
              </w:rPr>
              <w:t>个月内被中国证监会及其派出机构认定为不适当人选；</w:t>
            </w:r>
          </w:p>
          <w:p w14:paraId="5C45268A" w14:textId="77777777" w:rsidR="0076233B" w:rsidRPr="00EF0794" w:rsidRDefault="0076233B" w:rsidP="00EE34F2">
            <w:pPr>
              <w:rPr>
                <w:szCs w:val="21"/>
              </w:rPr>
            </w:pPr>
            <w:r w:rsidRPr="00EF0794">
              <w:rPr>
                <w:szCs w:val="21"/>
              </w:rPr>
              <w:t>3</w:t>
            </w:r>
            <w:r w:rsidRPr="00EF0794">
              <w:rPr>
                <w:szCs w:val="21"/>
              </w:rPr>
              <w:t>、最近</w:t>
            </w:r>
            <w:r w:rsidRPr="00EF0794">
              <w:rPr>
                <w:szCs w:val="21"/>
              </w:rPr>
              <w:t>12</w:t>
            </w:r>
            <w:r w:rsidRPr="00EF0794">
              <w:rPr>
                <w:szCs w:val="21"/>
              </w:rPr>
              <w:t>个月内因重大违法违规行为被中国证监会及其派出机构行政处罚或者采取市场禁入措施；</w:t>
            </w:r>
          </w:p>
          <w:p w14:paraId="63E46A0D" w14:textId="77777777" w:rsidR="0076233B" w:rsidRPr="00EF0794" w:rsidRDefault="0076233B" w:rsidP="00EE34F2">
            <w:pPr>
              <w:rPr>
                <w:szCs w:val="21"/>
              </w:rPr>
            </w:pPr>
            <w:r w:rsidRPr="00EF0794">
              <w:rPr>
                <w:szCs w:val="21"/>
              </w:rPr>
              <w:t>4</w:t>
            </w:r>
            <w:r w:rsidRPr="00EF0794">
              <w:rPr>
                <w:szCs w:val="21"/>
              </w:rPr>
              <w:t>、具有《公司法》规定的不得担任公司董事、高级管理人员的情形；</w:t>
            </w:r>
          </w:p>
          <w:p w14:paraId="4CC56078" w14:textId="77777777" w:rsidR="0076233B" w:rsidRPr="00EF0794" w:rsidRDefault="0076233B" w:rsidP="00EE34F2">
            <w:pPr>
              <w:rPr>
                <w:szCs w:val="21"/>
              </w:rPr>
            </w:pPr>
            <w:r w:rsidRPr="00EF0794">
              <w:rPr>
                <w:szCs w:val="21"/>
              </w:rPr>
              <w:t>5</w:t>
            </w:r>
            <w:r w:rsidRPr="00EF0794">
              <w:rPr>
                <w:szCs w:val="21"/>
              </w:rPr>
              <w:t>、法律法规规定不得参与上市公司股权激励的；</w:t>
            </w:r>
          </w:p>
          <w:p w14:paraId="4B12BD13" w14:textId="77777777" w:rsidR="0076233B" w:rsidRPr="00EF0794" w:rsidRDefault="0076233B" w:rsidP="00EE34F2">
            <w:pPr>
              <w:rPr>
                <w:szCs w:val="21"/>
              </w:rPr>
            </w:pPr>
            <w:r w:rsidRPr="00EF0794">
              <w:rPr>
                <w:szCs w:val="21"/>
              </w:rPr>
              <w:lastRenderedPageBreak/>
              <w:t>6</w:t>
            </w:r>
            <w:r w:rsidRPr="00EF0794">
              <w:rPr>
                <w:szCs w:val="21"/>
              </w:rPr>
              <w:t>、中国证监会认定的其他情形。</w:t>
            </w:r>
          </w:p>
        </w:tc>
        <w:tc>
          <w:tcPr>
            <w:tcW w:w="2977" w:type="dxa"/>
            <w:vAlign w:val="center"/>
          </w:tcPr>
          <w:p w14:paraId="28EC67CE" w14:textId="77777777" w:rsidR="0076233B" w:rsidRPr="00EF0794" w:rsidRDefault="0076233B" w:rsidP="00EE34F2">
            <w:pPr>
              <w:rPr>
                <w:szCs w:val="21"/>
              </w:rPr>
            </w:pPr>
            <w:r w:rsidRPr="00EF0794">
              <w:rPr>
                <w:szCs w:val="21"/>
              </w:rPr>
              <w:lastRenderedPageBreak/>
              <w:t>激励对象未发生前述情形，符合行权条件。</w:t>
            </w:r>
          </w:p>
        </w:tc>
      </w:tr>
      <w:tr w:rsidR="0076233B" w:rsidRPr="00EF0794" w14:paraId="092403EB" w14:textId="77777777" w:rsidTr="00EE34F2">
        <w:trPr>
          <w:jc w:val="center"/>
        </w:trPr>
        <w:tc>
          <w:tcPr>
            <w:tcW w:w="6248" w:type="dxa"/>
            <w:vAlign w:val="center"/>
          </w:tcPr>
          <w:p w14:paraId="1D7BA090" w14:textId="01BAA919" w:rsidR="0076233B" w:rsidRPr="00EF0794" w:rsidRDefault="0076233B" w:rsidP="00EE34F2">
            <w:pPr>
              <w:rPr>
                <w:szCs w:val="21"/>
                <w:shd w:val="clear" w:color="auto" w:fill="FFFFFF"/>
              </w:rPr>
            </w:pPr>
            <w:r w:rsidRPr="00EF0794">
              <w:rPr>
                <w:szCs w:val="21"/>
              </w:rPr>
              <w:t>（</w:t>
            </w:r>
            <w:r w:rsidR="00C93094" w:rsidRPr="00EF0794">
              <w:rPr>
                <w:szCs w:val="21"/>
              </w:rPr>
              <w:t>三</w:t>
            </w:r>
            <w:r w:rsidRPr="00EF0794">
              <w:rPr>
                <w:szCs w:val="21"/>
              </w:rPr>
              <w:t>）</w:t>
            </w:r>
            <w:r w:rsidRPr="00EF0794">
              <w:rPr>
                <w:szCs w:val="21"/>
                <w:shd w:val="clear" w:color="auto" w:fill="FFFFFF"/>
              </w:rPr>
              <w:t>公司层面业绩考核要求：</w:t>
            </w:r>
          </w:p>
          <w:p w14:paraId="2ACB66E4" w14:textId="77777777" w:rsidR="0076233B" w:rsidRPr="00EF0794" w:rsidRDefault="0076233B" w:rsidP="00EE34F2">
            <w:pPr>
              <w:rPr>
                <w:szCs w:val="21"/>
                <w:shd w:val="clear" w:color="auto" w:fill="FFFFFF"/>
              </w:rPr>
            </w:pPr>
            <w:r w:rsidRPr="00EF0794">
              <w:rPr>
                <w:szCs w:val="21"/>
                <w:shd w:val="clear" w:color="auto" w:fill="FFFFFF"/>
              </w:rPr>
              <w:t>本激励计划分年度对公司的业绩指标进行考核，以达到业绩考核目标作为激励对象当年度的行权条件之一。</w:t>
            </w:r>
          </w:p>
          <w:p w14:paraId="5837039B" w14:textId="77777777" w:rsidR="0076233B" w:rsidRPr="00EF0794" w:rsidRDefault="0076233B" w:rsidP="00EE34F2">
            <w:pPr>
              <w:rPr>
                <w:szCs w:val="21"/>
                <w:shd w:val="clear" w:color="auto" w:fill="FFFFFF"/>
              </w:rPr>
            </w:pPr>
            <w:r w:rsidRPr="00EF0794">
              <w:rPr>
                <w:szCs w:val="21"/>
                <w:shd w:val="clear" w:color="auto" w:fill="FFFFFF"/>
              </w:rPr>
              <w:t>（</w:t>
            </w:r>
            <w:r w:rsidRPr="00EF0794">
              <w:rPr>
                <w:szCs w:val="21"/>
                <w:shd w:val="clear" w:color="auto" w:fill="FFFFFF"/>
              </w:rPr>
              <w:t>1</w:t>
            </w:r>
            <w:r w:rsidRPr="00EF0794">
              <w:rPr>
                <w:szCs w:val="21"/>
                <w:shd w:val="clear" w:color="auto" w:fill="FFFFFF"/>
              </w:rPr>
              <w:t>）部分中层管理人员首次授予部分及预留授予部分的股票期权（分三期行权）的行权业绩考核目标如下表所示：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512"/>
              <w:gridCol w:w="3510"/>
            </w:tblGrid>
            <w:tr w:rsidR="0076233B" w:rsidRPr="00EF0794" w14:paraId="65DC382F" w14:textId="77777777" w:rsidTr="00EE34F2">
              <w:tc>
                <w:tcPr>
                  <w:tcW w:w="2086" w:type="pct"/>
                  <w:shd w:val="clear" w:color="auto" w:fill="FFFFFF"/>
                  <w:tcMar>
                    <w:top w:w="75" w:type="dxa"/>
                    <w:left w:w="75" w:type="dxa"/>
                    <w:bottom w:w="75" w:type="dxa"/>
                    <w:right w:w="75" w:type="dxa"/>
                  </w:tcMar>
                  <w:vAlign w:val="center"/>
                  <w:hideMark/>
                </w:tcPr>
                <w:p w14:paraId="519235C9" w14:textId="77777777" w:rsidR="0076233B" w:rsidRPr="00EF0794" w:rsidRDefault="0076233B" w:rsidP="00EE34F2">
                  <w:pPr>
                    <w:jc w:val="center"/>
                    <w:rPr>
                      <w:sz w:val="18"/>
                      <w:szCs w:val="18"/>
                      <w:shd w:val="clear" w:color="auto" w:fill="FFFFFF"/>
                    </w:rPr>
                  </w:pPr>
                  <w:r w:rsidRPr="00EF0794">
                    <w:rPr>
                      <w:sz w:val="18"/>
                      <w:szCs w:val="18"/>
                      <w:shd w:val="clear" w:color="auto" w:fill="FFFFFF"/>
                    </w:rPr>
                    <w:t>行权期</w:t>
                  </w:r>
                </w:p>
              </w:tc>
              <w:tc>
                <w:tcPr>
                  <w:tcW w:w="2914" w:type="pct"/>
                  <w:shd w:val="clear" w:color="auto" w:fill="FFFFFF"/>
                  <w:tcMar>
                    <w:top w:w="75" w:type="dxa"/>
                    <w:left w:w="75" w:type="dxa"/>
                    <w:bottom w:w="75" w:type="dxa"/>
                    <w:right w:w="75" w:type="dxa"/>
                  </w:tcMar>
                  <w:vAlign w:val="center"/>
                  <w:hideMark/>
                </w:tcPr>
                <w:p w14:paraId="7126501C" w14:textId="77777777" w:rsidR="0076233B" w:rsidRPr="00EF0794" w:rsidRDefault="0076233B" w:rsidP="00EE34F2">
                  <w:pPr>
                    <w:jc w:val="center"/>
                    <w:rPr>
                      <w:sz w:val="18"/>
                      <w:szCs w:val="18"/>
                      <w:shd w:val="clear" w:color="auto" w:fill="FFFFFF"/>
                    </w:rPr>
                  </w:pPr>
                  <w:r w:rsidRPr="00EF0794">
                    <w:rPr>
                      <w:sz w:val="18"/>
                      <w:szCs w:val="18"/>
                      <w:shd w:val="clear" w:color="auto" w:fill="FFFFFF"/>
                    </w:rPr>
                    <w:t>业绩考核目标</w:t>
                  </w:r>
                </w:p>
              </w:tc>
            </w:tr>
            <w:tr w:rsidR="0076233B" w:rsidRPr="00EF0794" w14:paraId="4A3155CA" w14:textId="77777777" w:rsidTr="00EE34F2">
              <w:tc>
                <w:tcPr>
                  <w:tcW w:w="2086" w:type="pct"/>
                  <w:shd w:val="clear" w:color="auto" w:fill="FFFFFF"/>
                  <w:tcMar>
                    <w:top w:w="75" w:type="dxa"/>
                    <w:left w:w="75" w:type="dxa"/>
                    <w:bottom w:w="75" w:type="dxa"/>
                    <w:right w:w="75" w:type="dxa"/>
                  </w:tcMar>
                  <w:vAlign w:val="center"/>
                  <w:hideMark/>
                </w:tcPr>
                <w:p w14:paraId="4C644036" w14:textId="77777777" w:rsidR="0076233B" w:rsidRPr="00EF0794" w:rsidRDefault="0076233B" w:rsidP="00EE34F2">
                  <w:pPr>
                    <w:jc w:val="center"/>
                    <w:rPr>
                      <w:sz w:val="18"/>
                      <w:szCs w:val="18"/>
                      <w:shd w:val="clear" w:color="auto" w:fill="FFFFFF"/>
                    </w:rPr>
                  </w:pPr>
                  <w:r w:rsidRPr="00EF0794">
                    <w:rPr>
                      <w:sz w:val="18"/>
                      <w:szCs w:val="18"/>
                      <w:shd w:val="clear" w:color="auto" w:fill="FFFFFF"/>
                    </w:rPr>
                    <w:t>首次授予部分及预留授予部分第一个行权期</w:t>
                  </w:r>
                </w:p>
              </w:tc>
              <w:tc>
                <w:tcPr>
                  <w:tcW w:w="2914" w:type="pct"/>
                  <w:shd w:val="clear" w:color="auto" w:fill="FFFFFF"/>
                  <w:tcMar>
                    <w:top w:w="75" w:type="dxa"/>
                    <w:left w:w="75" w:type="dxa"/>
                    <w:bottom w:w="75" w:type="dxa"/>
                    <w:right w:w="75" w:type="dxa"/>
                  </w:tcMar>
                  <w:vAlign w:val="center"/>
                  <w:hideMark/>
                </w:tcPr>
                <w:p w14:paraId="3D0028FD" w14:textId="77777777" w:rsidR="0076233B" w:rsidRPr="00EF0794" w:rsidRDefault="0076233B" w:rsidP="00EE34F2">
                  <w:pPr>
                    <w:rPr>
                      <w:sz w:val="18"/>
                      <w:szCs w:val="18"/>
                      <w:shd w:val="clear" w:color="auto" w:fill="FFFFFF"/>
                    </w:rPr>
                  </w:pPr>
                  <w:r w:rsidRPr="00EF0794">
                    <w:rPr>
                      <w:sz w:val="18"/>
                      <w:szCs w:val="18"/>
                      <w:shd w:val="clear" w:color="auto" w:fill="FFFFFF"/>
                    </w:rPr>
                    <w:t>2021</w:t>
                  </w:r>
                  <w:r w:rsidRPr="00EF0794">
                    <w:rPr>
                      <w:sz w:val="18"/>
                      <w:szCs w:val="18"/>
                      <w:shd w:val="clear" w:color="auto" w:fill="FFFFFF"/>
                    </w:rPr>
                    <w:t>年营业收入值不低于</w:t>
                  </w:r>
                  <w:r w:rsidRPr="00EF0794">
                    <w:rPr>
                      <w:sz w:val="18"/>
                      <w:szCs w:val="18"/>
                      <w:shd w:val="clear" w:color="auto" w:fill="FFFFFF"/>
                    </w:rPr>
                    <w:t>1,050</w:t>
                  </w:r>
                  <w:r w:rsidRPr="00EF0794">
                    <w:rPr>
                      <w:sz w:val="18"/>
                      <w:szCs w:val="18"/>
                      <w:shd w:val="clear" w:color="auto" w:fill="FFFFFF"/>
                    </w:rPr>
                    <w:t>亿元</w:t>
                  </w:r>
                </w:p>
              </w:tc>
            </w:tr>
            <w:tr w:rsidR="0076233B" w:rsidRPr="00EF0794" w14:paraId="7583B185" w14:textId="77777777" w:rsidTr="00EE34F2">
              <w:tc>
                <w:tcPr>
                  <w:tcW w:w="2086" w:type="pct"/>
                  <w:shd w:val="clear" w:color="auto" w:fill="FFFFFF"/>
                  <w:tcMar>
                    <w:top w:w="75" w:type="dxa"/>
                    <w:left w:w="75" w:type="dxa"/>
                    <w:bottom w:w="75" w:type="dxa"/>
                    <w:right w:w="75" w:type="dxa"/>
                  </w:tcMar>
                  <w:vAlign w:val="center"/>
                  <w:hideMark/>
                </w:tcPr>
                <w:p w14:paraId="61B50517" w14:textId="77777777" w:rsidR="0076233B" w:rsidRPr="00EF0794" w:rsidRDefault="0076233B" w:rsidP="00EE34F2">
                  <w:pPr>
                    <w:jc w:val="center"/>
                    <w:rPr>
                      <w:sz w:val="18"/>
                      <w:szCs w:val="18"/>
                      <w:shd w:val="clear" w:color="auto" w:fill="FFFFFF"/>
                    </w:rPr>
                  </w:pPr>
                  <w:r w:rsidRPr="00EF0794">
                    <w:rPr>
                      <w:sz w:val="18"/>
                      <w:szCs w:val="18"/>
                      <w:shd w:val="clear" w:color="auto" w:fill="FFFFFF"/>
                    </w:rPr>
                    <w:t>首次授予部分及预留授予部分第二个行权期</w:t>
                  </w:r>
                </w:p>
              </w:tc>
              <w:tc>
                <w:tcPr>
                  <w:tcW w:w="2914" w:type="pct"/>
                  <w:shd w:val="clear" w:color="auto" w:fill="FFFFFF"/>
                  <w:tcMar>
                    <w:top w:w="75" w:type="dxa"/>
                    <w:left w:w="75" w:type="dxa"/>
                    <w:bottom w:w="75" w:type="dxa"/>
                    <w:right w:w="75" w:type="dxa"/>
                  </w:tcMar>
                  <w:vAlign w:val="center"/>
                  <w:hideMark/>
                </w:tcPr>
                <w:p w14:paraId="789133F8" w14:textId="77777777" w:rsidR="0076233B" w:rsidRPr="00EF0794" w:rsidRDefault="0076233B" w:rsidP="00EE34F2">
                  <w:pPr>
                    <w:rPr>
                      <w:sz w:val="18"/>
                      <w:szCs w:val="18"/>
                      <w:shd w:val="clear" w:color="auto" w:fill="FFFFFF"/>
                    </w:rPr>
                  </w:pPr>
                  <w:r w:rsidRPr="00EF0794">
                    <w:rPr>
                      <w:sz w:val="18"/>
                      <w:szCs w:val="18"/>
                      <w:shd w:val="clear" w:color="auto" w:fill="FFFFFF"/>
                    </w:rPr>
                    <w:t>2021-2022</w:t>
                  </w:r>
                  <w:r w:rsidRPr="00EF0794">
                    <w:rPr>
                      <w:sz w:val="18"/>
                      <w:szCs w:val="18"/>
                      <w:shd w:val="clear" w:color="auto" w:fill="FFFFFF"/>
                    </w:rPr>
                    <w:t>年两年的累计营业收入值不低于</w:t>
                  </w:r>
                  <w:r w:rsidRPr="00EF0794">
                    <w:rPr>
                      <w:sz w:val="18"/>
                      <w:szCs w:val="18"/>
                      <w:shd w:val="clear" w:color="auto" w:fill="FFFFFF"/>
                    </w:rPr>
                    <w:t>2,400</w:t>
                  </w:r>
                  <w:r w:rsidRPr="00EF0794">
                    <w:rPr>
                      <w:sz w:val="18"/>
                      <w:szCs w:val="18"/>
                      <w:shd w:val="clear" w:color="auto" w:fill="FFFFFF"/>
                    </w:rPr>
                    <w:t>亿元</w:t>
                  </w:r>
                </w:p>
              </w:tc>
            </w:tr>
            <w:tr w:rsidR="0076233B" w:rsidRPr="00EF0794" w14:paraId="1C5BB659" w14:textId="77777777" w:rsidTr="00EE34F2">
              <w:tc>
                <w:tcPr>
                  <w:tcW w:w="2086" w:type="pct"/>
                  <w:shd w:val="clear" w:color="auto" w:fill="FFFFFF"/>
                  <w:tcMar>
                    <w:top w:w="75" w:type="dxa"/>
                    <w:left w:w="75" w:type="dxa"/>
                    <w:bottom w:w="75" w:type="dxa"/>
                    <w:right w:w="75" w:type="dxa"/>
                  </w:tcMar>
                  <w:vAlign w:val="center"/>
                  <w:hideMark/>
                </w:tcPr>
                <w:p w14:paraId="583E220B" w14:textId="77777777" w:rsidR="0076233B" w:rsidRPr="00EF0794" w:rsidRDefault="0076233B" w:rsidP="00EE34F2">
                  <w:pPr>
                    <w:jc w:val="center"/>
                    <w:rPr>
                      <w:sz w:val="18"/>
                      <w:szCs w:val="18"/>
                      <w:shd w:val="clear" w:color="auto" w:fill="FFFFFF"/>
                    </w:rPr>
                  </w:pPr>
                  <w:r w:rsidRPr="00EF0794">
                    <w:rPr>
                      <w:sz w:val="18"/>
                      <w:szCs w:val="18"/>
                      <w:shd w:val="clear" w:color="auto" w:fill="FFFFFF"/>
                    </w:rPr>
                    <w:t>首次授予部分及预留授予部分第三个行权期</w:t>
                  </w:r>
                </w:p>
              </w:tc>
              <w:tc>
                <w:tcPr>
                  <w:tcW w:w="2914" w:type="pct"/>
                  <w:shd w:val="clear" w:color="auto" w:fill="FFFFFF"/>
                  <w:tcMar>
                    <w:top w:w="75" w:type="dxa"/>
                    <w:left w:w="75" w:type="dxa"/>
                    <w:bottom w:w="75" w:type="dxa"/>
                    <w:right w:w="75" w:type="dxa"/>
                  </w:tcMar>
                  <w:vAlign w:val="center"/>
                  <w:hideMark/>
                </w:tcPr>
                <w:p w14:paraId="62ACDB08" w14:textId="77777777" w:rsidR="0076233B" w:rsidRPr="00EF0794" w:rsidRDefault="0076233B" w:rsidP="00EE34F2">
                  <w:pPr>
                    <w:rPr>
                      <w:sz w:val="18"/>
                      <w:szCs w:val="18"/>
                      <w:shd w:val="clear" w:color="auto" w:fill="FFFFFF"/>
                    </w:rPr>
                  </w:pPr>
                  <w:r w:rsidRPr="00EF0794">
                    <w:rPr>
                      <w:sz w:val="18"/>
                      <w:szCs w:val="18"/>
                      <w:shd w:val="clear" w:color="auto" w:fill="FFFFFF"/>
                    </w:rPr>
                    <w:t>2021-2023</w:t>
                  </w:r>
                  <w:r w:rsidRPr="00EF0794">
                    <w:rPr>
                      <w:sz w:val="18"/>
                      <w:szCs w:val="18"/>
                      <w:shd w:val="clear" w:color="auto" w:fill="FFFFFF"/>
                    </w:rPr>
                    <w:t>年三年的累计营业收入值不低于</w:t>
                  </w:r>
                  <w:r w:rsidRPr="00EF0794">
                    <w:rPr>
                      <w:sz w:val="18"/>
                      <w:szCs w:val="18"/>
                      <w:shd w:val="clear" w:color="auto" w:fill="FFFFFF"/>
                    </w:rPr>
                    <w:t>4,100</w:t>
                  </w:r>
                  <w:r w:rsidRPr="00EF0794">
                    <w:rPr>
                      <w:sz w:val="18"/>
                      <w:szCs w:val="18"/>
                      <w:shd w:val="clear" w:color="auto" w:fill="FFFFFF"/>
                    </w:rPr>
                    <w:t>亿元</w:t>
                  </w:r>
                </w:p>
              </w:tc>
            </w:tr>
          </w:tbl>
          <w:p w14:paraId="056F3227" w14:textId="77777777" w:rsidR="0076233B" w:rsidRPr="00EF0794" w:rsidRDefault="0076233B" w:rsidP="00EE34F2">
            <w:pPr>
              <w:rPr>
                <w:sz w:val="18"/>
                <w:szCs w:val="18"/>
              </w:rPr>
            </w:pPr>
            <w:r w:rsidRPr="00EF0794">
              <w:rPr>
                <w:sz w:val="18"/>
                <w:szCs w:val="18"/>
              </w:rPr>
              <w:t>注：上述</w:t>
            </w:r>
            <w:r w:rsidRPr="00EF0794">
              <w:rPr>
                <w:sz w:val="18"/>
                <w:szCs w:val="18"/>
              </w:rPr>
              <w:t>“</w:t>
            </w:r>
            <w:r w:rsidRPr="00EF0794">
              <w:rPr>
                <w:sz w:val="18"/>
                <w:szCs w:val="18"/>
              </w:rPr>
              <w:t>营业收入</w:t>
            </w:r>
            <w:r w:rsidRPr="00EF0794">
              <w:rPr>
                <w:sz w:val="18"/>
                <w:szCs w:val="18"/>
              </w:rPr>
              <w:t>”</w:t>
            </w:r>
            <w:r w:rsidRPr="00EF0794">
              <w:rPr>
                <w:sz w:val="18"/>
                <w:szCs w:val="18"/>
              </w:rPr>
              <w:t>以公司经审计的合并报表数值为计算依据。</w:t>
            </w:r>
          </w:p>
          <w:p w14:paraId="15E3B007" w14:textId="77777777" w:rsidR="0076233B" w:rsidRPr="00EF0794" w:rsidRDefault="0076233B" w:rsidP="00EE34F2">
            <w:pPr>
              <w:rPr>
                <w:szCs w:val="21"/>
              </w:rPr>
            </w:pPr>
            <w:r w:rsidRPr="00EF0794">
              <w:rPr>
                <w:szCs w:val="21"/>
              </w:rPr>
              <w:t>（</w:t>
            </w:r>
            <w:r w:rsidRPr="00EF0794">
              <w:rPr>
                <w:szCs w:val="21"/>
              </w:rPr>
              <w:t>2</w:t>
            </w:r>
            <w:r w:rsidRPr="00EF0794">
              <w:rPr>
                <w:szCs w:val="21"/>
              </w:rPr>
              <w:t>）部分中层管理人员（</w:t>
            </w:r>
            <w:proofErr w:type="gramStart"/>
            <w:r w:rsidRPr="00EF0794">
              <w:rPr>
                <w:szCs w:val="21"/>
              </w:rPr>
              <w:t>分四期行权</w:t>
            </w:r>
            <w:proofErr w:type="gramEnd"/>
            <w:r w:rsidRPr="00EF0794">
              <w:rPr>
                <w:szCs w:val="21"/>
              </w:rPr>
              <w:t>，含前述授予后分三期行权的部分中层管理人员）首次授予部分及预留授予部分的股票期权的行权业绩考核目标如下表所示：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512"/>
              <w:gridCol w:w="3510"/>
            </w:tblGrid>
            <w:tr w:rsidR="0076233B" w:rsidRPr="00EF0794" w14:paraId="252C309E" w14:textId="77777777" w:rsidTr="00EE34F2">
              <w:tc>
                <w:tcPr>
                  <w:tcW w:w="2086" w:type="pct"/>
                  <w:shd w:val="clear" w:color="auto" w:fill="FFFFFF"/>
                  <w:tcMar>
                    <w:top w:w="75" w:type="dxa"/>
                    <w:left w:w="75" w:type="dxa"/>
                    <w:bottom w:w="75" w:type="dxa"/>
                    <w:right w:w="75" w:type="dxa"/>
                  </w:tcMar>
                  <w:vAlign w:val="center"/>
                  <w:hideMark/>
                </w:tcPr>
                <w:p w14:paraId="5AE4B650" w14:textId="77777777" w:rsidR="0076233B" w:rsidRPr="00EF0794" w:rsidRDefault="0076233B" w:rsidP="00EE34F2">
                  <w:pPr>
                    <w:jc w:val="center"/>
                    <w:rPr>
                      <w:sz w:val="18"/>
                      <w:szCs w:val="18"/>
                      <w:shd w:val="clear" w:color="auto" w:fill="FFFFFF"/>
                    </w:rPr>
                  </w:pPr>
                  <w:r w:rsidRPr="00EF0794">
                    <w:rPr>
                      <w:sz w:val="18"/>
                      <w:szCs w:val="18"/>
                      <w:shd w:val="clear" w:color="auto" w:fill="FFFFFF"/>
                    </w:rPr>
                    <w:t>行权期</w:t>
                  </w:r>
                </w:p>
              </w:tc>
              <w:tc>
                <w:tcPr>
                  <w:tcW w:w="2914" w:type="pct"/>
                  <w:shd w:val="clear" w:color="auto" w:fill="FFFFFF"/>
                  <w:tcMar>
                    <w:top w:w="75" w:type="dxa"/>
                    <w:left w:w="75" w:type="dxa"/>
                    <w:bottom w:w="75" w:type="dxa"/>
                    <w:right w:w="75" w:type="dxa"/>
                  </w:tcMar>
                  <w:vAlign w:val="center"/>
                  <w:hideMark/>
                </w:tcPr>
                <w:p w14:paraId="1332F6A1" w14:textId="77777777" w:rsidR="0076233B" w:rsidRPr="00EF0794" w:rsidRDefault="0076233B" w:rsidP="00EE34F2">
                  <w:pPr>
                    <w:jc w:val="center"/>
                    <w:rPr>
                      <w:sz w:val="18"/>
                      <w:szCs w:val="18"/>
                      <w:shd w:val="clear" w:color="auto" w:fill="FFFFFF"/>
                    </w:rPr>
                  </w:pPr>
                  <w:r w:rsidRPr="00EF0794">
                    <w:rPr>
                      <w:sz w:val="18"/>
                      <w:szCs w:val="18"/>
                      <w:shd w:val="clear" w:color="auto" w:fill="FFFFFF"/>
                    </w:rPr>
                    <w:t>业绩考核目标</w:t>
                  </w:r>
                </w:p>
              </w:tc>
            </w:tr>
            <w:tr w:rsidR="0076233B" w:rsidRPr="00EF0794" w14:paraId="1E4A89C7" w14:textId="77777777" w:rsidTr="00EE34F2">
              <w:tc>
                <w:tcPr>
                  <w:tcW w:w="2086" w:type="pct"/>
                  <w:shd w:val="clear" w:color="auto" w:fill="FFFFFF"/>
                  <w:tcMar>
                    <w:top w:w="75" w:type="dxa"/>
                    <w:left w:w="75" w:type="dxa"/>
                    <w:bottom w:w="75" w:type="dxa"/>
                    <w:right w:w="75" w:type="dxa"/>
                  </w:tcMar>
                  <w:vAlign w:val="center"/>
                  <w:hideMark/>
                </w:tcPr>
                <w:p w14:paraId="2B51E4BB" w14:textId="77777777" w:rsidR="0076233B" w:rsidRPr="00EF0794" w:rsidRDefault="0076233B" w:rsidP="00EE34F2">
                  <w:pPr>
                    <w:jc w:val="center"/>
                    <w:rPr>
                      <w:sz w:val="18"/>
                      <w:szCs w:val="18"/>
                      <w:shd w:val="clear" w:color="auto" w:fill="FFFFFF"/>
                    </w:rPr>
                  </w:pPr>
                  <w:r w:rsidRPr="00EF0794">
                    <w:rPr>
                      <w:sz w:val="18"/>
                      <w:szCs w:val="18"/>
                      <w:shd w:val="clear" w:color="auto" w:fill="FFFFFF"/>
                    </w:rPr>
                    <w:t>首次授予部分及预留授予部分第一个行权期</w:t>
                  </w:r>
                </w:p>
              </w:tc>
              <w:tc>
                <w:tcPr>
                  <w:tcW w:w="2914" w:type="pct"/>
                  <w:shd w:val="clear" w:color="auto" w:fill="FFFFFF"/>
                  <w:tcMar>
                    <w:top w:w="75" w:type="dxa"/>
                    <w:left w:w="75" w:type="dxa"/>
                    <w:bottom w:w="75" w:type="dxa"/>
                    <w:right w:w="75" w:type="dxa"/>
                  </w:tcMar>
                  <w:vAlign w:val="center"/>
                  <w:hideMark/>
                </w:tcPr>
                <w:p w14:paraId="7FC0B0C6" w14:textId="77777777" w:rsidR="0076233B" w:rsidRPr="00EF0794" w:rsidRDefault="0076233B" w:rsidP="00EE34F2">
                  <w:pPr>
                    <w:rPr>
                      <w:sz w:val="18"/>
                      <w:szCs w:val="18"/>
                      <w:shd w:val="clear" w:color="auto" w:fill="FFFFFF"/>
                    </w:rPr>
                  </w:pPr>
                  <w:r w:rsidRPr="00EF0794">
                    <w:rPr>
                      <w:sz w:val="18"/>
                      <w:szCs w:val="18"/>
                      <w:shd w:val="clear" w:color="auto" w:fill="FFFFFF"/>
                    </w:rPr>
                    <w:t>2021</w:t>
                  </w:r>
                  <w:r w:rsidRPr="00EF0794">
                    <w:rPr>
                      <w:sz w:val="18"/>
                      <w:szCs w:val="18"/>
                      <w:shd w:val="clear" w:color="auto" w:fill="FFFFFF"/>
                    </w:rPr>
                    <w:t>年营业收入值不低于</w:t>
                  </w:r>
                  <w:r w:rsidRPr="00EF0794">
                    <w:rPr>
                      <w:sz w:val="18"/>
                      <w:szCs w:val="18"/>
                      <w:shd w:val="clear" w:color="auto" w:fill="FFFFFF"/>
                    </w:rPr>
                    <w:t>1,050</w:t>
                  </w:r>
                  <w:r w:rsidRPr="00EF0794">
                    <w:rPr>
                      <w:sz w:val="18"/>
                      <w:szCs w:val="18"/>
                      <w:shd w:val="clear" w:color="auto" w:fill="FFFFFF"/>
                    </w:rPr>
                    <w:t>亿元</w:t>
                  </w:r>
                </w:p>
              </w:tc>
            </w:tr>
            <w:tr w:rsidR="0076233B" w:rsidRPr="00EF0794" w14:paraId="3426EA5E" w14:textId="77777777" w:rsidTr="00EE34F2">
              <w:tc>
                <w:tcPr>
                  <w:tcW w:w="2086" w:type="pct"/>
                  <w:shd w:val="clear" w:color="auto" w:fill="FFFFFF"/>
                  <w:tcMar>
                    <w:top w:w="75" w:type="dxa"/>
                    <w:left w:w="75" w:type="dxa"/>
                    <w:bottom w:w="75" w:type="dxa"/>
                    <w:right w:w="75" w:type="dxa"/>
                  </w:tcMar>
                  <w:vAlign w:val="center"/>
                  <w:hideMark/>
                </w:tcPr>
                <w:p w14:paraId="2C9455DC" w14:textId="77777777" w:rsidR="0076233B" w:rsidRPr="00EF0794" w:rsidRDefault="0076233B" w:rsidP="00EE34F2">
                  <w:pPr>
                    <w:jc w:val="center"/>
                    <w:rPr>
                      <w:sz w:val="18"/>
                      <w:szCs w:val="18"/>
                      <w:shd w:val="clear" w:color="auto" w:fill="FFFFFF"/>
                    </w:rPr>
                  </w:pPr>
                  <w:r w:rsidRPr="00EF0794">
                    <w:rPr>
                      <w:sz w:val="18"/>
                      <w:szCs w:val="18"/>
                      <w:shd w:val="clear" w:color="auto" w:fill="FFFFFF"/>
                    </w:rPr>
                    <w:t>首次授予部分及预留授予部分第二个行权期</w:t>
                  </w:r>
                </w:p>
              </w:tc>
              <w:tc>
                <w:tcPr>
                  <w:tcW w:w="2914" w:type="pct"/>
                  <w:shd w:val="clear" w:color="auto" w:fill="FFFFFF"/>
                  <w:tcMar>
                    <w:top w:w="75" w:type="dxa"/>
                    <w:left w:w="75" w:type="dxa"/>
                    <w:bottom w:w="75" w:type="dxa"/>
                    <w:right w:w="75" w:type="dxa"/>
                  </w:tcMar>
                  <w:vAlign w:val="center"/>
                  <w:hideMark/>
                </w:tcPr>
                <w:p w14:paraId="51AEA619" w14:textId="77777777" w:rsidR="0076233B" w:rsidRPr="00EF0794" w:rsidRDefault="0076233B" w:rsidP="00EE34F2">
                  <w:pPr>
                    <w:rPr>
                      <w:sz w:val="18"/>
                      <w:szCs w:val="18"/>
                      <w:shd w:val="clear" w:color="auto" w:fill="FFFFFF"/>
                    </w:rPr>
                  </w:pPr>
                  <w:r w:rsidRPr="00EF0794">
                    <w:rPr>
                      <w:sz w:val="18"/>
                      <w:szCs w:val="18"/>
                      <w:shd w:val="clear" w:color="auto" w:fill="FFFFFF"/>
                    </w:rPr>
                    <w:t>2021-2022</w:t>
                  </w:r>
                  <w:r w:rsidRPr="00EF0794">
                    <w:rPr>
                      <w:sz w:val="18"/>
                      <w:szCs w:val="18"/>
                      <w:shd w:val="clear" w:color="auto" w:fill="FFFFFF"/>
                    </w:rPr>
                    <w:t>年两年的累计营业收入值不低于</w:t>
                  </w:r>
                  <w:r w:rsidRPr="00EF0794">
                    <w:rPr>
                      <w:sz w:val="18"/>
                      <w:szCs w:val="18"/>
                      <w:shd w:val="clear" w:color="auto" w:fill="FFFFFF"/>
                    </w:rPr>
                    <w:t>2,400</w:t>
                  </w:r>
                  <w:r w:rsidRPr="00EF0794">
                    <w:rPr>
                      <w:sz w:val="18"/>
                      <w:szCs w:val="18"/>
                      <w:shd w:val="clear" w:color="auto" w:fill="FFFFFF"/>
                    </w:rPr>
                    <w:t>亿元</w:t>
                  </w:r>
                </w:p>
              </w:tc>
            </w:tr>
            <w:tr w:rsidR="0076233B" w:rsidRPr="00EF0794" w14:paraId="3B92878A" w14:textId="77777777" w:rsidTr="00EE34F2">
              <w:tc>
                <w:tcPr>
                  <w:tcW w:w="2086" w:type="pct"/>
                  <w:shd w:val="clear" w:color="auto" w:fill="FFFFFF"/>
                  <w:tcMar>
                    <w:top w:w="75" w:type="dxa"/>
                    <w:left w:w="75" w:type="dxa"/>
                    <w:bottom w:w="75" w:type="dxa"/>
                    <w:right w:w="75" w:type="dxa"/>
                  </w:tcMar>
                  <w:vAlign w:val="center"/>
                </w:tcPr>
                <w:p w14:paraId="53F9F775" w14:textId="77777777" w:rsidR="0076233B" w:rsidRPr="00EF0794" w:rsidRDefault="0076233B" w:rsidP="00EE34F2">
                  <w:pPr>
                    <w:jc w:val="center"/>
                    <w:rPr>
                      <w:sz w:val="18"/>
                      <w:szCs w:val="18"/>
                      <w:shd w:val="clear" w:color="auto" w:fill="FFFFFF"/>
                    </w:rPr>
                  </w:pPr>
                  <w:r w:rsidRPr="00EF0794">
                    <w:rPr>
                      <w:sz w:val="18"/>
                      <w:szCs w:val="18"/>
                      <w:shd w:val="clear" w:color="auto" w:fill="FFFFFF"/>
                    </w:rPr>
                    <w:t>首次授予部分及预留授予部分第三个行权期</w:t>
                  </w:r>
                </w:p>
              </w:tc>
              <w:tc>
                <w:tcPr>
                  <w:tcW w:w="2914" w:type="pct"/>
                  <w:shd w:val="clear" w:color="auto" w:fill="FFFFFF"/>
                  <w:tcMar>
                    <w:top w:w="75" w:type="dxa"/>
                    <w:left w:w="75" w:type="dxa"/>
                    <w:bottom w:w="75" w:type="dxa"/>
                    <w:right w:w="75" w:type="dxa"/>
                  </w:tcMar>
                  <w:vAlign w:val="center"/>
                </w:tcPr>
                <w:p w14:paraId="37971F24" w14:textId="77777777" w:rsidR="0076233B" w:rsidRPr="00EF0794" w:rsidRDefault="0076233B" w:rsidP="00EE34F2">
                  <w:pPr>
                    <w:rPr>
                      <w:sz w:val="18"/>
                      <w:szCs w:val="18"/>
                      <w:shd w:val="clear" w:color="auto" w:fill="FFFFFF"/>
                    </w:rPr>
                  </w:pPr>
                  <w:r w:rsidRPr="00EF0794">
                    <w:rPr>
                      <w:sz w:val="18"/>
                      <w:szCs w:val="18"/>
                      <w:shd w:val="clear" w:color="auto" w:fill="FFFFFF"/>
                    </w:rPr>
                    <w:t>2021-2023</w:t>
                  </w:r>
                  <w:r w:rsidRPr="00EF0794">
                    <w:rPr>
                      <w:sz w:val="18"/>
                      <w:szCs w:val="18"/>
                      <w:shd w:val="clear" w:color="auto" w:fill="FFFFFF"/>
                    </w:rPr>
                    <w:t>年三年的累计营业收入值不低于</w:t>
                  </w:r>
                  <w:r w:rsidRPr="00EF0794">
                    <w:rPr>
                      <w:sz w:val="18"/>
                      <w:szCs w:val="18"/>
                      <w:shd w:val="clear" w:color="auto" w:fill="FFFFFF"/>
                    </w:rPr>
                    <w:t>4,100</w:t>
                  </w:r>
                  <w:r w:rsidRPr="00EF0794">
                    <w:rPr>
                      <w:sz w:val="18"/>
                      <w:szCs w:val="18"/>
                      <w:shd w:val="clear" w:color="auto" w:fill="FFFFFF"/>
                    </w:rPr>
                    <w:t>亿元</w:t>
                  </w:r>
                </w:p>
              </w:tc>
            </w:tr>
            <w:tr w:rsidR="0076233B" w:rsidRPr="00EF0794" w14:paraId="0595DC67" w14:textId="77777777" w:rsidTr="00EE34F2">
              <w:tc>
                <w:tcPr>
                  <w:tcW w:w="2086" w:type="pct"/>
                  <w:shd w:val="clear" w:color="auto" w:fill="FFFFFF"/>
                  <w:tcMar>
                    <w:top w:w="75" w:type="dxa"/>
                    <w:left w:w="75" w:type="dxa"/>
                    <w:bottom w:w="75" w:type="dxa"/>
                    <w:right w:w="75" w:type="dxa"/>
                  </w:tcMar>
                  <w:vAlign w:val="center"/>
                </w:tcPr>
                <w:p w14:paraId="7F667C57" w14:textId="77777777" w:rsidR="0076233B" w:rsidRPr="00EF0794" w:rsidRDefault="0076233B" w:rsidP="00EE34F2">
                  <w:pPr>
                    <w:jc w:val="center"/>
                    <w:rPr>
                      <w:sz w:val="18"/>
                      <w:szCs w:val="18"/>
                      <w:shd w:val="clear" w:color="auto" w:fill="FFFFFF"/>
                    </w:rPr>
                  </w:pPr>
                  <w:r w:rsidRPr="00EF0794">
                    <w:rPr>
                      <w:sz w:val="18"/>
                      <w:szCs w:val="18"/>
                      <w:shd w:val="clear" w:color="auto" w:fill="FFFFFF"/>
                    </w:rPr>
                    <w:t>首次授予部分及预留授予部分第四个行权期</w:t>
                  </w:r>
                </w:p>
              </w:tc>
              <w:tc>
                <w:tcPr>
                  <w:tcW w:w="2914" w:type="pct"/>
                  <w:shd w:val="clear" w:color="auto" w:fill="FFFFFF"/>
                  <w:tcMar>
                    <w:top w:w="75" w:type="dxa"/>
                    <w:left w:w="75" w:type="dxa"/>
                    <w:bottom w:w="75" w:type="dxa"/>
                    <w:right w:w="75" w:type="dxa"/>
                  </w:tcMar>
                  <w:vAlign w:val="center"/>
                </w:tcPr>
                <w:p w14:paraId="19BD1330" w14:textId="77777777" w:rsidR="0076233B" w:rsidRPr="00EF0794" w:rsidRDefault="0076233B" w:rsidP="00EE34F2">
                  <w:pPr>
                    <w:rPr>
                      <w:sz w:val="18"/>
                      <w:szCs w:val="18"/>
                      <w:shd w:val="clear" w:color="auto" w:fill="FFFFFF"/>
                    </w:rPr>
                  </w:pPr>
                  <w:r w:rsidRPr="00EF0794">
                    <w:rPr>
                      <w:sz w:val="18"/>
                      <w:szCs w:val="18"/>
                      <w:shd w:val="clear" w:color="auto" w:fill="FFFFFF"/>
                    </w:rPr>
                    <w:t>2021-2024</w:t>
                  </w:r>
                  <w:r w:rsidRPr="00EF0794">
                    <w:rPr>
                      <w:sz w:val="18"/>
                      <w:szCs w:val="18"/>
                      <w:shd w:val="clear" w:color="auto" w:fill="FFFFFF"/>
                    </w:rPr>
                    <w:t>年四年的累计营业收入值不低于</w:t>
                  </w:r>
                  <w:r w:rsidRPr="00EF0794">
                    <w:rPr>
                      <w:sz w:val="18"/>
                      <w:szCs w:val="18"/>
                      <w:shd w:val="clear" w:color="auto" w:fill="FFFFFF"/>
                    </w:rPr>
                    <w:t>6,200</w:t>
                  </w:r>
                  <w:r w:rsidRPr="00EF0794">
                    <w:rPr>
                      <w:sz w:val="18"/>
                      <w:szCs w:val="18"/>
                      <w:shd w:val="clear" w:color="auto" w:fill="FFFFFF"/>
                    </w:rPr>
                    <w:t>亿元</w:t>
                  </w:r>
                </w:p>
              </w:tc>
            </w:tr>
          </w:tbl>
          <w:p w14:paraId="6135053A" w14:textId="77777777" w:rsidR="0076233B" w:rsidRPr="00EF0794" w:rsidRDefault="0076233B" w:rsidP="00EE34F2">
            <w:pPr>
              <w:rPr>
                <w:sz w:val="18"/>
                <w:szCs w:val="18"/>
              </w:rPr>
            </w:pPr>
            <w:r w:rsidRPr="00EF0794">
              <w:rPr>
                <w:sz w:val="18"/>
                <w:szCs w:val="18"/>
              </w:rPr>
              <w:t>注：上述</w:t>
            </w:r>
            <w:r w:rsidRPr="00EF0794">
              <w:rPr>
                <w:sz w:val="18"/>
                <w:szCs w:val="18"/>
              </w:rPr>
              <w:t>“</w:t>
            </w:r>
            <w:r w:rsidRPr="00EF0794">
              <w:rPr>
                <w:sz w:val="18"/>
                <w:szCs w:val="18"/>
              </w:rPr>
              <w:t>营业收入</w:t>
            </w:r>
            <w:r w:rsidRPr="00EF0794">
              <w:rPr>
                <w:sz w:val="18"/>
                <w:szCs w:val="18"/>
              </w:rPr>
              <w:t>”</w:t>
            </w:r>
            <w:r w:rsidRPr="00EF0794">
              <w:rPr>
                <w:sz w:val="18"/>
                <w:szCs w:val="18"/>
              </w:rPr>
              <w:t>以公司经审计的合并报表数值为计算依据。</w:t>
            </w:r>
          </w:p>
          <w:p w14:paraId="4A16698C" w14:textId="77777777" w:rsidR="0076233B" w:rsidRPr="00EF0794" w:rsidRDefault="0076233B" w:rsidP="00EE34F2">
            <w:pPr>
              <w:rPr>
                <w:szCs w:val="21"/>
              </w:rPr>
            </w:pPr>
          </w:p>
        </w:tc>
        <w:tc>
          <w:tcPr>
            <w:tcW w:w="2977" w:type="dxa"/>
            <w:vAlign w:val="center"/>
          </w:tcPr>
          <w:p w14:paraId="58DBF3C7" w14:textId="2A9AAC21" w:rsidR="0076233B" w:rsidRPr="00EF0794" w:rsidRDefault="0076233B" w:rsidP="00EE34F2">
            <w:pPr>
              <w:spacing w:beforeLines="50" w:before="156" w:afterLines="50" w:after="156"/>
              <w:jc w:val="left"/>
              <w:rPr>
                <w:szCs w:val="21"/>
              </w:rPr>
            </w:pPr>
            <w:r w:rsidRPr="00EF0794">
              <w:rPr>
                <w:szCs w:val="21"/>
              </w:rPr>
              <w:t>根据致同会计师事务所（特殊普通合伙）对公司</w:t>
            </w:r>
            <w:r w:rsidRPr="00EF0794">
              <w:rPr>
                <w:szCs w:val="21"/>
              </w:rPr>
              <w:t>2021</w:t>
            </w:r>
            <w:r w:rsidRPr="00EF0794">
              <w:rPr>
                <w:szCs w:val="21"/>
              </w:rPr>
              <w:t>年年度报告出具的审计报告（</w:t>
            </w:r>
            <w:proofErr w:type="gramStart"/>
            <w:r w:rsidRPr="00EF0794">
              <w:rPr>
                <w:szCs w:val="21"/>
              </w:rPr>
              <w:t>致同审字</w:t>
            </w:r>
            <w:proofErr w:type="gramEnd"/>
            <w:r w:rsidRPr="00EF0794">
              <w:rPr>
                <w:szCs w:val="21"/>
              </w:rPr>
              <w:t>[2022]</w:t>
            </w:r>
            <w:r w:rsidRPr="00EF0794">
              <w:rPr>
                <w:szCs w:val="21"/>
              </w:rPr>
              <w:t>第</w:t>
            </w:r>
            <w:r w:rsidRPr="00EF0794">
              <w:rPr>
                <w:szCs w:val="21"/>
              </w:rPr>
              <w:t>351A010679</w:t>
            </w:r>
            <w:r w:rsidRPr="00EF0794">
              <w:rPr>
                <w:szCs w:val="21"/>
              </w:rPr>
              <w:t>号）：</w:t>
            </w:r>
            <w:r w:rsidRPr="00EF0794">
              <w:rPr>
                <w:szCs w:val="21"/>
              </w:rPr>
              <w:t>2021</w:t>
            </w:r>
            <w:r w:rsidRPr="00EF0794">
              <w:rPr>
                <w:szCs w:val="21"/>
              </w:rPr>
              <w:t>年度公司实现</w:t>
            </w:r>
            <w:r w:rsidR="00B0532A" w:rsidRPr="00EF0794">
              <w:rPr>
                <w:szCs w:val="21"/>
              </w:rPr>
              <w:t>的</w:t>
            </w:r>
            <w:r w:rsidRPr="00EF0794">
              <w:rPr>
                <w:szCs w:val="21"/>
              </w:rPr>
              <w:t>营业收入为</w:t>
            </w:r>
            <w:r w:rsidRPr="00EF0794">
              <w:rPr>
                <w:szCs w:val="21"/>
              </w:rPr>
              <w:t>1,303.56</w:t>
            </w:r>
            <w:r w:rsidRPr="00EF0794">
              <w:rPr>
                <w:szCs w:val="21"/>
              </w:rPr>
              <w:t>亿元，符合公司层面业绩考核目标，公司层面行权比例为</w:t>
            </w:r>
            <w:r w:rsidRPr="00EF0794">
              <w:rPr>
                <w:szCs w:val="21"/>
              </w:rPr>
              <w:t>100%</w:t>
            </w:r>
            <w:r w:rsidRPr="00EF0794">
              <w:rPr>
                <w:szCs w:val="21"/>
              </w:rPr>
              <w:t>。</w:t>
            </w:r>
          </w:p>
        </w:tc>
      </w:tr>
      <w:tr w:rsidR="0076233B" w:rsidRPr="00EF0794" w14:paraId="55632991" w14:textId="77777777" w:rsidTr="00EE34F2">
        <w:trPr>
          <w:jc w:val="center"/>
        </w:trPr>
        <w:tc>
          <w:tcPr>
            <w:tcW w:w="6248" w:type="dxa"/>
          </w:tcPr>
          <w:p w14:paraId="45B7140E" w14:textId="70F5D7A1" w:rsidR="0076233B" w:rsidRPr="00EF0794" w:rsidRDefault="0076233B" w:rsidP="00EE34F2">
            <w:pPr>
              <w:rPr>
                <w:szCs w:val="21"/>
                <w:shd w:val="clear" w:color="auto" w:fill="FFFFFF"/>
              </w:rPr>
            </w:pPr>
            <w:r w:rsidRPr="00EF0794">
              <w:rPr>
                <w:szCs w:val="21"/>
              </w:rPr>
              <w:t>（</w:t>
            </w:r>
            <w:r w:rsidR="00C93094" w:rsidRPr="00EF0794">
              <w:rPr>
                <w:szCs w:val="21"/>
              </w:rPr>
              <w:t>四</w:t>
            </w:r>
            <w:r w:rsidRPr="00EF0794">
              <w:rPr>
                <w:szCs w:val="21"/>
              </w:rPr>
              <w:t>）</w:t>
            </w:r>
            <w:r w:rsidRPr="00EF0794">
              <w:rPr>
                <w:szCs w:val="21"/>
                <w:shd w:val="clear" w:color="auto" w:fill="FFFFFF"/>
              </w:rPr>
              <w:t>个人层面绩效考核要求</w:t>
            </w:r>
          </w:p>
          <w:p w14:paraId="1B893415" w14:textId="77777777" w:rsidR="0076233B" w:rsidRPr="00EF0794" w:rsidRDefault="0076233B" w:rsidP="00EE34F2">
            <w:pPr>
              <w:rPr>
                <w:szCs w:val="21"/>
              </w:rPr>
            </w:pPr>
            <w:r w:rsidRPr="00EF0794">
              <w:rPr>
                <w:szCs w:val="21"/>
              </w:rPr>
              <w:t>激励对象的个人层面的考核按照公司现行薪酬与考核的相关规定组织实施，个人层面行权比例（</w:t>
            </w:r>
            <w:r w:rsidRPr="00EF0794">
              <w:rPr>
                <w:szCs w:val="21"/>
              </w:rPr>
              <w:t>N</w:t>
            </w:r>
            <w:r w:rsidRPr="00EF0794">
              <w:rPr>
                <w:szCs w:val="21"/>
              </w:rPr>
              <w:t>）按下表考核结果确定：</w:t>
            </w:r>
          </w:p>
          <w:tbl>
            <w:tblPr>
              <w:tblW w:w="46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348"/>
              <w:gridCol w:w="1655"/>
              <w:gridCol w:w="1653"/>
            </w:tblGrid>
            <w:tr w:rsidR="0076233B" w:rsidRPr="00EF0794" w14:paraId="60B6691C" w14:textId="77777777" w:rsidTr="00EE34F2">
              <w:tc>
                <w:tcPr>
                  <w:tcW w:w="2076" w:type="pct"/>
                  <w:shd w:val="clear" w:color="auto" w:fill="FFFFFF"/>
                  <w:tcMar>
                    <w:top w:w="75" w:type="dxa"/>
                    <w:left w:w="75" w:type="dxa"/>
                    <w:bottom w:w="75" w:type="dxa"/>
                    <w:right w:w="75" w:type="dxa"/>
                  </w:tcMar>
                  <w:vAlign w:val="center"/>
                  <w:hideMark/>
                </w:tcPr>
                <w:p w14:paraId="799FB8AE" w14:textId="77777777" w:rsidR="0076233B" w:rsidRPr="00EF0794" w:rsidRDefault="0076233B" w:rsidP="00EE34F2">
                  <w:pPr>
                    <w:jc w:val="center"/>
                    <w:rPr>
                      <w:sz w:val="18"/>
                      <w:szCs w:val="18"/>
                      <w:shd w:val="clear" w:color="auto" w:fill="FFFFFF"/>
                    </w:rPr>
                  </w:pPr>
                  <w:r w:rsidRPr="00EF0794">
                    <w:rPr>
                      <w:sz w:val="18"/>
                      <w:szCs w:val="18"/>
                      <w:shd w:val="clear" w:color="auto" w:fill="FFFFFF"/>
                    </w:rPr>
                    <w:t>个人上一年度考核结果</w:t>
                  </w:r>
                </w:p>
              </w:tc>
              <w:tc>
                <w:tcPr>
                  <w:tcW w:w="1463" w:type="pct"/>
                  <w:shd w:val="clear" w:color="auto" w:fill="FFFFFF"/>
                  <w:tcMar>
                    <w:top w:w="75" w:type="dxa"/>
                    <w:left w:w="75" w:type="dxa"/>
                    <w:bottom w:w="75" w:type="dxa"/>
                    <w:right w:w="75" w:type="dxa"/>
                  </w:tcMar>
                  <w:vAlign w:val="center"/>
                  <w:hideMark/>
                </w:tcPr>
                <w:p w14:paraId="7F7CEE1B" w14:textId="77777777" w:rsidR="0076233B" w:rsidRPr="00EF0794" w:rsidRDefault="0076233B" w:rsidP="00EE34F2">
                  <w:pPr>
                    <w:jc w:val="center"/>
                    <w:rPr>
                      <w:sz w:val="18"/>
                      <w:szCs w:val="18"/>
                      <w:shd w:val="clear" w:color="auto" w:fill="FFFFFF"/>
                    </w:rPr>
                  </w:pPr>
                  <w:r w:rsidRPr="00EF0794">
                    <w:rPr>
                      <w:sz w:val="18"/>
                      <w:szCs w:val="18"/>
                      <w:shd w:val="clear" w:color="auto" w:fill="FFFFFF"/>
                    </w:rPr>
                    <w:t>A/B+/B</w:t>
                  </w:r>
                </w:p>
              </w:tc>
              <w:tc>
                <w:tcPr>
                  <w:tcW w:w="1462" w:type="pct"/>
                  <w:shd w:val="clear" w:color="auto" w:fill="FFFFFF"/>
                  <w:tcMar>
                    <w:top w:w="75" w:type="dxa"/>
                    <w:left w:w="75" w:type="dxa"/>
                    <w:bottom w:w="75" w:type="dxa"/>
                    <w:right w:w="75" w:type="dxa"/>
                  </w:tcMar>
                  <w:vAlign w:val="center"/>
                  <w:hideMark/>
                </w:tcPr>
                <w:p w14:paraId="76C78E99" w14:textId="77777777" w:rsidR="0076233B" w:rsidRPr="00EF0794" w:rsidRDefault="0076233B" w:rsidP="00EE34F2">
                  <w:pPr>
                    <w:jc w:val="center"/>
                    <w:rPr>
                      <w:sz w:val="18"/>
                      <w:szCs w:val="18"/>
                      <w:shd w:val="clear" w:color="auto" w:fill="FFFFFF"/>
                    </w:rPr>
                  </w:pPr>
                  <w:r w:rsidRPr="00EF0794">
                    <w:rPr>
                      <w:sz w:val="18"/>
                      <w:szCs w:val="18"/>
                      <w:shd w:val="clear" w:color="auto" w:fill="FFFFFF"/>
                    </w:rPr>
                    <w:t>C/D</w:t>
                  </w:r>
                </w:p>
              </w:tc>
            </w:tr>
            <w:tr w:rsidR="0076233B" w:rsidRPr="00EF0794" w14:paraId="059C95A4" w14:textId="77777777" w:rsidTr="00EE34F2">
              <w:tc>
                <w:tcPr>
                  <w:tcW w:w="2076" w:type="pct"/>
                  <w:shd w:val="clear" w:color="auto" w:fill="FFFFFF"/>
                  <w:tcMar>
                    <w:top w:w="75" w:type="dxa"/>
                    <w:left w:w="75" w:type="dxa"/>
                    <w:bottom w:w="75" w:type="dxa"/>
                    <w:right w:w="75" w:type="dxa"/>
                  </w:tcMar>
                  <w:vAlign w:val="center"/>
                  <w:hideMark/>
                </w:tcPr>
                <w:p w14:paraId="50EB35CE" w14:textId="77777777" w:rsidR="0076233B" w:rsidRPr="00EF0794" w:rsidRDefault="0076233B" w:rsidP="00EE34F2">
                  <w:pPr>
                    <w:jc w:val="center"/>
                    <w:rPr>
                      <w:sz w:val="18"/>
                      <w:szCs w:val="18"/>
                      <w:shd w:val="clear" w:color="auto" w:fill="FFFFFF"/>
                    </w:rPr>
                  </w:pPr>
                  <w:r w:rsidRPr="00EF0794">
                    <w:rPr>
                      <w:sz w:val="18"/>
                      <w:szCs w:val="18"/>
                      <w:shd w:val="clear" w:color="auto" w:fill="FFFFFF"/>
                    </w:rPr>
                    <w:t>个人行权比例（</w:t>
                  </w:r>
                  <w:r w:rsidRPr="00EF0794">
                    <w:rPr>
                      <w:sz w:val="18"/>
                      <w:szCs w:val="18"/>
                      <w:shd w:val="clear" w:color="auto" w:fill="FFFFFF"/>
                    </w:rPr>
                    <w:t>N</w:t>
                  </w:r>
                  <w:r w:rsidRPr="00EF0794">
                    <w:rPr>
                      <w:sz w:val="18"/>
                      <w:szCs w:val="18"/>
                      <w:shd w:val="clear" w:color="auto" w:fill="FFFFFF"/>
                    </w:rPr>
                    <w:t>）</w:t>
                  </w:r>
                </w:p>
              </w:tc>
              <w:tc>
                <w:tcPr>
                  <w:tcW w:w="1463" w:type="pct"/>
                  <w:shd w:val="clear" w:color="auto" w:fill="FFFFFF"/>
                  <w:tcMar>
                    <w:top w:w="75" w:type="dxa"/>
                    <w:left w:w="75" w:type="dxa"/>
                    <w:bottom w:w="75" w:type="dxa"/>
                    <w:right w:w="75" w:type="dxa"/>
                  </w:tcMar>
                  <w:vAlign w:val="center"/>
                  <w:hideMark/>
                </w:tcPr>
                <w:p w14:paraId="6A7C097C" w14:textId="77777777" w:rsidR="0076233B" w:rsidRPr="00EF0794" w:rsidRDefault="0076233B" w:rsidP="00EE34F2">
                  <w:pPr>
                    <w:jc w:val="center"/>
                    <w:rPr>
                      <w:sz w:val="18"/>
                      <w:szCs w:val="18"/>
                      <w:shd w:val="clear" w:color="auto" w:fill="FFFFFF"/>
                    </w:rPr>
                  </w:pPr>
                  <w:r w:rsidRPr="00EF0794">
                    <w:rPr>
                      <w:sz w:val="18"/>
                      <w:szCs w:val="18"/>
                      <w:shd w:val="clear" w:color="auto" w:fill="FFFFFF"/>
                    </w:rPr>
                    <w:t>100%</w:t>
                  </w:r>
                </w:p>
              </w:tc>
              <w:tc>
                <w:tcPr>
                  <w:tcW w:w="1462" w:type="pct"/>
                  <w:shd w:val="clear" w:color="auto" w:fill="FFFFFF"/>
                  <w:tcMar>
                    <w:top w:w="75" w:type="dxa"/>
                    <w:left w:w="75" w:type="dxa"/>
                    <w:bottom w:w="75" w:type="dxa"/>
                    <w:right w:w="75" w:type="dxa"/>
                  </w:tcMar>
                  <w:vAlign w:val="center"/>
                  <w:hideMark/>
                </w:tcPr>
                <w:p w14:paraId="3384B83C" w14:textId="77777777" w:rsidR="0076233B" w:rsidRPr="00EF0794" w:rsidRDefault="0076233B" w:rsidP="00EE34F2">
                  <w:pPr>
                    <w:jc w:val="center"/>
                    <w:rPr>
                      <w:sz w:val="18"/>
                      <w:szCs w:val="18"/>
                      <w:shd w:val="clear" w:color="auto" w:fill="FFFFFF"/>
                    </w:rPr>
                  </w:pPr>
                  <w:r w:rsidRPr="00EF0794">
                    <w:rPr>
                      <w:sz w:val="18"/>
                      <w:szCs w:val="18"/>
                      <w:shd w:val="clear" w:color="auto" w:fill="FFFFFF"/>
                    </w:rPr>
                    <w:t>0%</w:t>
                  </w:r>
                </w:p>
              </w:tc>
            </w:tr>
          </w:tbl>
          <w:p w14:paraId="63255EC3" w14:textId="77777777" w:rsidR="0076233B" w:rsidRPr="00EF0794" w:rsidRDefault="0076233B" w:rsidP="00EE34F2">
            <w:pPr>
              <w:rPr>
                <w:szCs w:val="21"/>
              </w:rPr>
            </w:pPr>
            <w:r w:rsidRPr="00EF0794">
              <w:rPr>
                <w:szCs w:val="21"/>
              </w:rPr>
              <w:t>在公司业绩目标达成的前提下，激励对象个人当年实际行权的股票期权数量</w:t>
            </w:r>
            <w:r w:rsidRPr="00EF0794">
              <w:rPr>
                <w:szCs w:val="21"/>
              </w:rPr>
              <w:t>=</w:t>
            </w:r>
            <w:r w:rsidRPr="00EF0794">
              <w:rPr>
                <w:szCs w:val="21"/>
              </w:rPr>
              <w:t>个人当年计划行权的数量</w:t>
            </w:r>
            <w:r w:rsidRPr="00EF0794">
              <w:rPr>
                <w:szCs w:val="21"/>
              </w:rPr>
              <w:t>×</w:t>
            </w:r>
            <w:r w:rsidRPr="00EF0794">
              <w:rPr>
                <w:szCs w:val="21"/>
              </w:rPr>
              <w:t>个人行权比例（</w:t>
            </w:r>
            <w:r w:rsidRPr="00EF0794">
              <w:rPr>
                <w:szCs w:val="21"/>
              </w:rPr>
              <w:t>N</w:t>
            </w:r>
            <w:r w:rsidRPr="00EF0794">
              <w:rPr>
                <w:szCs w:val="21"/>
              </w:rPr>
              <w:t>）。</w:t>
            </w:r>
          </w:p>
        </w:tc>
        <w:tc>
          <w:tcPr>
            <w:tcW w:w="2977" w:type="dxa"/>
          </w:tcPr>
          <w:p w14:paraId="2BB142CC" w14:textId="77777777" w:rsidR="0076233B" w:rsidRPr="00EF0794" w:rsidRDefault="0076233B" w:rsidP="00EE34F2">
            <w:pPr>
              <w:rPr>
                <w:szCs w:val="21"/>
              </w:rPr>
            </w:pPr>
            <w:r w:rsidRPr="00EF0794">
              <w:rPr>
                <w:szCs w:val="21"/>
              </w:rPr>
              <w:t>（一）首次授予部分：</w:t>
            </w:r>
          </w:p>
          <w:p w14:paraId="4A5C4B6C" w14:textId="006BAA8A" w:rsidR="0076233B" w:rsidRPr="00EF0794" w:rsidRDefault="0076233B" w:rsidP="00EE34F2">
            <w:pPr>
              <w:rPr>
                <w:szCs w:val="21"/>
              </w:rPr>
            </w:pPr>
            <w:r w:rsidRPr="00EF0794">
              <w:rPr>
                <w:szCs w:val="21"/>
              </w:rPr>
              <w:t>27</w:t>
            </w:r>
            <w:r w:rsidR="007632D5" w:rsidRPr="00EF0794">
              <w:rPr>
                <w:szCs w:val="21"/>
              </w:rPr>
              <w:t>1</w:t>
            </w:r>
            <w:r w:rsidRPr="00EF0794">
              <w:rPr>
                <w:szCs w:val="21"/>
              </w:rPr>
              <w:t>名激励对象中：（</w:t>
            </w:r>
            <w:r w:rsidRPr="00EF0794">
              <w:rPr>
                <w:szCs w:val="21"/>
              </w:rPr>
              <w:t>1</w:t>
            </w:r>
            <w:r w:rsidRPr="00EF0794">
              <w:rPr>
                <w:szCs w:val="21"/>
              </w:rPr>
              <w:t>）</w:t>
            </w:r>
            <w:r w:rsidRPr="00EF0794">
              <w:rPr>
                <w:szCs w:val="21"/>
              </w:rPr>
              <w:t>2</w:t>
            </w:r>
            <w:r w:rsidRPr="00EF0794">
              <w:rPr>
                <w:szCs w:val="21"/>
              </w:rPr>
              <w:t>名激励对象个人绩效考核结果为</w:t>
            </w:r>
            <w:r w:rsidRPr="00EF0794">
              <w:rPr>
                <w:szCs w:val="21"/>
              </w:rPr>
              <w:t>C</w:t>
            </w:r>
            <w:r w:rsidRPr="00EF0794">
              <w:rPr>
                <w:szCs w:val="21"/>
              </w:rPr>
              <w:t>，本次行权比例为</w:t>
            </w:r>
            <w:r w:rsidRPr="00EF0794">
              <w:rPr>
                <w:szCs w:val="21"/>
              </w:rPr>
              <w:t>0%</w:t>
            </w:r>
            <w:r w:rsidRPr="00EF0794">
              <w:rPr>
                <w:szCs w:val="21"/>
              </w:rPr>
              <w:t>，其已获</w:t>
            </w:r>
            <w:proofErr w:type="gramStart"/>
            <w:r w:rsidRPr="00EF0794">
              <w:rPr>
                <w:szCs w:val="21"/>
              </w:rPr>
              <w:t>授尚未</w:t>
            </w:r>
            <w:proofErr w:type="gramEnd"/>
            <w:r w:rsidRPr="00EF0794">
              <w:rPr>
                <w:szCs w:val="21"/>
              </w:rPr>
              <w:t>行权的</w:t>
            </w:r>
            <w:r w:rsidRPr="00EF0794">
              <w:rPr>
                <w:szCs w:val="21"/>
              </w:rPr>
              <w:t>1,264</w:t>
            </w:r>
            <w:r w:rsidRPr="00EF0794">
              <w:rPr>
                <w:szCs w:val="21"/>
              </w:rPr>
              <w:t>份股票期权注销；（</w:t>
            </w:r>
            <w:r w:rsidR="007632D5" w:rsidRPr="00EF0794">
              <w:rPr>
                <w:szCs w:val="21"/>
              </w:rPr>
              <w:t>2</w:t>
            </w:r>
            <w:r w:rsidRPr="00EF0794">
              <w:rPr>
                <w:szCs w:val="21"/>
              </w:rPr>
              <w:t>）其余</w:t>
            </w:r>
            <w:r w:rsidRPr="00EF0794">
              <w:rPr>
                <w:szCs w:val="21"/>
              </w:rPr>
              <w:t>269</w:t>
            </w:r>
            <w:r w:rsidRPr="00EF0794">
              <w:rPr>
                <w:szCs w:val="21"/>
              </w:rPr>
              <w:t>名激励对象绩效考核结果为</w:t>
            </w:r>
            <w:r w:rsidRPr="00EF0794">
              <w:rPr>
                <w:szCs w:val="21"/>
              </w:rPr>
              <w:t>B</w:t>
            </w:r>
            <w:r w:rsidRPr="00EF0794">
              <w:rPr>
                <w:szCs w:val="21"/>
              </w:rPr>
              <w:t>以上（含</w:t>
            </w:r>
            <w:r w:rsidRPr="00EF0794">
              <w:rPr>
                <w:szCs w:val="21"/>
              </w:rPr>
              <w:t>B</w:t>
            </w:r>
            <w:r w:rsidRPr="00EF0794">
              <w:rPr>
                <w:szCs w:val="21"/>
              </w:rPr>
              <w:t>），本次行权比例为</w:t>
            </w:r>
            <w:r w:rsidRPr="00EF0794">
              <w:rPr>
                <w:szCs w:val="21"/>
              </w:rPr>
              <w:t>100%</w:t>
            </w:r>
            <w:r w:rsidRPr="00EF0794">
              <w:rPr>
                <w:szCs w:val="21"/>
              </w:rPr>
              <w:t>；</w:t>
            </w:r>
          </w:p>
          <w:p w14:paraId="3D7A2E2D" w14:textId="77777777" w:rsidR="007632D5" w:rsidRPr="00EF0794" w:rsidRDefault="007632D5" w:rsidP="00EE34F2">
            <w:pPr>
              <w:rPr>
                <w:szCs w:val="21"/>
              </w:rPr>
            </w:pPr>
          </w:p>
          <w:p w14:paraId="51C65ABB" w14:textId="77777777" w:rsidR="0076233B" w:rsidRPr="00EF0794" w:rsidRDefault="0076233B" w:rsidP="00EE34F2">
            <w:pPr>
              <w:rPr>
                <w:szCs w:val="21"/>
              </w:rPr>
            </w:pPr>
            <w:r w:rsidRPr="00EF0794">
              <w:rPr>
                <w:szCs w:val="21"/>
              </w:rPr>
              <w:t>（二）预留授予部分</w:t>
            </w:r>
          </w:p>
          <w:p w14:paraId="4193925F" w14:textId="134A371D" w:rsidR="0076233B" w:rsidRPr="00EF0794" w:rsidRDefault="0076233B" w:rsidP="00EE34F2">
            <w:pPr>
              <w:rPr>
                <w:szCs w:val="21"/>
              </w:rPr>
            </w:pPr>
            <w:r w:rsidRPr="00EF0794">
              <w:rPr>
                <w:szCs w:val="21"/>
              </w:rPr>
              <w:lastRenderedPageBreak/>
              <w:t>70</w:t>
            </w:r>
            <w:r w:rsidRPr="00EF0794">
              <w:rPr>
                <w:szCs w:val="21"/>
              </w:rPr>
              <w:t>名激励对象绩效考核结果为</w:t>
            </w:r>
            <w:r w:rsidRPr="00EF0794">
              <w:rPr>
                <w:szCs w:val="21"/>
              </w:rPr>
              <w:t>B</w:t>
            </w:r>
            <w:r w:rsidRPr="00EF0794">
              <w:rPr>
                <w:szCs w:val="21"/>
              </w:rPr>
              <w:t>以上（含</w:t>
            </w:r>
            <w:r w:rsidRPr="00EF0794">
              <w:rPr>
                <w:szCs w:val="21"/>
              </w:rPr>
              <w:t>B</w:t>
            </w:r>
            <w:r w:rsidRPr="00EF0794">
              <w:rPr>
                <w:szCs w:val="21"/>
              </w:rPr>
              <w:t>），本次行权比例为</w:t>
            </w:r>
            <w:r w:rsidRPr="00EF0794">
              <w:rPr>
                <w:szCs w:val="21"/>
              </w:rPr>
              <w:t>100%</w:t>
            </w:r>
            <w:r w:rsidRPr="00EF0794">
              <w:rPr>
                <w:szCs w:val="21"/>
              </w:rPr>
              <w:t>。</w:t>
            </w:r>
          </w:p>
        </w:tc>
      </w:tr>
    </w:tbl>
    <w:p w14:paraId="583E7E75" w14:textId="55A9D045" w:rsidR="0076233B" w:rsidRPr="00EF0794" w:rsidRDefault="0076233B" w:rsidP="0076233B">
      <w:pPr>
        <w:autoSpaceDE w:val="0"/>
        <w:autoSpaceDN w:val="0"/>
        <w:spacing w:beforeLines="50" w:before="156" w:line="360" w:lineRule="auto"/>
        <w:ind w:firstLineChars="200" w:firstLine="480"/>
        <w:rPr>
          <w:kern w:val="0"/>
          <w:sz w:val="24"/>
        </w:rPr>
      </w:pPr>
      <w:r w:rsidRPr="00EF0794">
        <w:rPr>
          <w:kern w:val="0"/>
          <w:sz w:val="24"/>
        </w:rPr>
        <w:lastRenderedPageBreak/>
        <w:t>综上所述，董事会认为本次激励计划设定的首次及预留授予第一个行权期行权条件已经成就，同意公司按照激励计划的相关规定为符合条件的</w:t>
      </w:r>
      <w:r w:rsidRPr="00EF0794">
        <w:rPr>
          <w:kern w:val="0"/>
          <w:sz w:val="24"/>
        </w:rPr>
        <w:t>339</w:t>
      </w:r>
      <w:r w:rsidRPr="00EF0794">
        <w:rPr>
          <w:kern w:val="0"/>
          <w:sz w:val="24"/>
        </w:rPr>
        <w:t>名激励对象办理相关行权事宜。</w:t>
      </w:r>
    </w:p>
    <w:p w14:paraId="33362640" w14:textId="0BE6FFE8" w:rsidR="007603D9" w:rsidRPr="00EF0794" w:rsidRDefault="007603D9" w:rsidP="007603D9">
      <w:pPr>
        <w:spacing w:beforeLines="50" w:before="156" w:line="360" w:lineRule="auto"/>
        <w:ind w:firstLineChars="200" w:firstLine="482"/>
        <w:outlineLvl w:val="1"/>
        <w:rPr>
          <w:b/>
          <w:sz w:val="24"/>
        </w:rPr>
      </w:pPr>
      <w:bookmarkStart w:id="9" w:name="_Hlk117103490"/>
      <w:r w:rsidRPr="00EF0794">
        <w:rPr>
          <w:b/>
          <w:sz w:val="24"/>
        </w:rPr>
        <w:t>（四）部分未达到行权条件的股票期权的处理方法</w:t>
      </w:r>
      <w:r w:rsidRPr="00EF0794">
        <w:rPr>
          <w:b/>
          <w:sz w:val="24"/>
        </w:rPr>
        <w:t xml:space="preserve"> </w:t>
      </w:r>
    </w:p>
    <w:p w14:paraId="6EA7B776" w14:textId="3F4AE579" w:rsidR="007603D9" w:rsidRPr="00EF0794" w:rsidRDefault="007603D9" w:rsidP="007603D9">
      <w:pPr>
        <w:autoSpaceDE w:val="0"/>
        <w:autoSpaceDN w:val="0"/>
        <w:spacing w:beforeLines="50" w:before="156" w:line="360" w:lineRule="auto"/>
        <w:ind w:firstLineChars="200" w:firstLine="480"/>
        <w:rPr>
          <w:sz w:val="24"/>
        </w:rPr>
      </w:pPr>
      <w:r w:rsidRPr="00EF0794">
        <w:rPr>
          <w:sz w:val="24"/>
        </w:rPr>
        <w:t>公司对于部分未达到行权条件的股票期权将注销处理，详见公司同日在巨潮资讯网披露的《关于注销</w:t>
      </w:r>
      <w:r w:rsidRPr="00EF0794">
        <w:rPr>
          <w:sz w:val="24"/>
        </w:rPr>
        <w:t>2021</w:t>
      </w:r>
      <w:r w:rsidRPr="00EF0794">
        <w:rPr>
          <w:sz w:val="24"/>
        </w:rPr>
        <w:t>年股票期权与限制性股票激励计划首次及预留授予股票期权的公告》（公告编号：</w:t>
      </w:r>
      <w:r w:rsidRPr="00EF0794">
        <w:rPr>
          <w:sz w:val="24"/>
        </w:rPr>
        <w:t>2022-116</w:t>
      </w:r>
      <w:r w:rsidRPr="00EF0794">
        <w:rPr>
          <w:sz w:val="24"/>
        </w:rPr>
        <w:t>）。</w:t>
      </w:r>
      <w:bookmarkEnd w:id="9"/>
    </w:p>
    <w:p w14:paraId="70864616" w14:textId="77777777" w:rsidR="0076233B" w:rsidRPr="00EF0794" w:rsidRDefault="0076233B" w:rsidP="0076233B">
      <w:pPr>
        <w:spacing w:beforeLines="50" w:before="156" w:afterLines="50" w:after="156" w:line="360" w:lineRule="auto"/>
        <w:ind w:firstLineChars="200" w:firstLine="482"/>
        <w:rPr>
          <w:b/>
          <w:bCs/>
          <w:sz w:val="24"/>
        </w:rPr>
      </w:pPr>
      <w:r w:rsidRPr="00EF0794">
        <w:rPr>
          <w:b/>
          <w:bCs/>
          <w:sz w:val="24"/>
        </w:rPr>
        <w:t>三、关于本次行权与已披露的激励计划存在差异的说明</w:t>
      </w:r>
    </w:p>
    <w:p w14:paraId="6A3BB64C" w14:textId="77777777" w:rsidR="0076233B" w:rsidRPr="00EF0794" w:rsidRDefault="0076233B" w:rsidP="0076233B">
      <w:pPr>
        <w:spacing w:beforeLines="50" w:before="156" w:afterLines="50" w:after="156" w:line="360" w:lineRule="auto"/>
        <w:ind w:firstLineChars="200" w:firstLine="482"/>
        <w:rPr>
          <w:b/>
          <w:kern w:val="0"/>
          <w:sz w:val="24"/>
        </w:rPr>
      </w:pPr>
      <w:r w:rsidRPr="00EF0794">
        <w:rPr>
          <w:b/>
          <w:kern w:val="0"/>
          <w:sz w:val="24"/>
        </w:rPr>
        <w:t>（一）行权价格调整</w:t>
      </w:r>
    </w:p>
    <w:p w14:paraId="0FBA17CB" w14:textId="77777777" w:rsidR="00387AAA" w:rsidRPr="00EF0794" w:rsidRDefault="00387AAA" w:rsidP="0076233B">
      <w:pPr>
        <w:spacing w:beforeLines="50" w:before="156" w:afterLines="50" w:after="156" w:line="360" w:lineRule="auto"/>
        <w:ind w:firstLineChars="200" w:firstLine="480"/>
        <w:rPr>
          <w:kern w:val="0"/>
          <w:sz w:val="24"/>
        </w:rPr>
      </w:pPr>
      <w:r w:rsidRPr="00EF0794">
        <w:rPr>
          <w:kern w:val="0"/>
          <w:sz w:val="24"/>
        </w:rPr>
        <w:t>公司于</w:t>
      </w:r>
      <w:r w:rsidRPr="00EF0794">
        <w:rPr>
          <w:kern w:val="0"/>
          <w:sz w:val="24"/>
        </w:rPr>
        <w:t>2022</w:t>
      </w:r>
      <w:r w:rsidRPr="00EF0794">
        <w:rPr>
          <w:kern w:val="0"/>
          <w:sz w:val="24"/>
        </w:rPr>
        <w:t>年</w:t>
      </w:r>
      <w:r w:rsidRPr="00EF0794">
        <w:rPr>
          <w:kern w:val="0"/>
          <w:sz w:val="24"/>
        </w:rPr>
        <w:t>9</w:t>
      </w:r>
      <w:r w:rsidRPr="00EF0794">
        <w:rPr>
          <w:kern w:val="0"/>
          <w:sz w:val="24"/>
        </w:rPr>
        <w:t>月</w:t>
      </w:r>
      <w:r w:rsidRPr="00EF0794">
        <w:rPr>
          <w:kern w:val="0"/>
          <w:sz w:val="24"/>
        </w:rPr>
        <w:t>5</w:t>
      </w:r>
      <w:r w:rsidRPr="00EF0794">
        <w:rPr>
          <w:kern w:val="0"/>
          <w:sz w:val="24"/>
        </w:rPr>
        <w:t>日召开</w:t>
      </w:r>
      <w:r w:rsidRPr="00EF0794">
        <w:rPr>
          <w:kern w:val="0"/>
          <w:sz w:val="24"/>
        </w:rPr>
        <w:t>2022</w:t>
      </w:r>
      <w:r w:rsidRPr="00EF0794">
        <w:rPr>
          <w:kern w:val="0"/>
          <w:sz w:val="24"/>
        </w:rPr>
        <w:t>年第一次临时股东大会，审议通过《关于</w:t>
      </w:r>
      <w:r w:rsidRPr="00EF0794">
        <w:rPr>
          <w:kern w:val="0"/>
          <w:sz w:val="24"/>
        </w:rPr>
        <w:t>&lt;2022</w:t>
      </w:r>
      <w:r w:rsidRPr="00EF0794">
        <w:rPr>
          <w:kern w:val="0"/>
          <w:sz w:val="24"/>
        </w:rPr>
        <w:t>年半年度利润分配预案</w:t>
      </w:r>
      <w:r w:rsidRPr="00EF0794">
        <w:rPr>
          <w:kern w:val="0"/>
          <w:sz w:val="24"/>
        </w:rPr>
        <w:t>&gt;</w:t>
      </w:r>
      <w:r w:rsidRPr="00EF0794">
        <w:rPr>
          <w:kern w:val="0"/>
          <w:sz w:val="24"/>
        </w:rPr>
        <w:t>的议案》，并于</w:t>
      </w:r>
      <w:r w:rsidRPr="00EF0794">
        <w:rPr>
          <w:kern w:val="0"/>
          <w:sz w:val="24"/>
        </w:rPr>
        <w:t>2022</w:t>
      </w:r>
      <w:r w:rsidRPr="00EF0794">
        <w:rPr>
          <w:kern w:val="0"/>
          <w:sz w:val="24"/>
        </w:rPr>
        <w:t>年</w:t>
      </w:r>
      <w:r w:rsidRPr="00EF0794">
        <w:rPr>
          <w:kern w:val="0"/>
          <w:sz w:val="24"/>
        </w:rPr>
        <w:t>9</w:t>
      </w:r>
      <w:r w:rsidRPr="00EF0794">
        <w:rPr>
          <w:kern w:val="0"/>
          <w:sz w:val="24"/>
        </w:rPr>
        <w:t>月</w:t>
      </w:r>
      <w:r w:rsidRPr="00EF0794">
        <w:rPr>
          <w:kern w:val="0"/>
          <w:sz w:val="24"/>
        </w:rPr>
        <w:t>21</w:t>
      </w:r>
      <w:r w:rsidRPr="00EF0794">
        <w:rPr>
          <w:kern w:val="0"/>
          <w:sz w:val="24"/>
        </w:rPr>
        <w:t>日披露《</w:t>
      </w:r>
      <w:r w:rsidRPr="00EF0794">
        <w:rPr>
          <w:kern w:val="0"/>
          <w:sz w:val="24"/>
        </w:rPr>
        <w:t>2022</w:t>
      </w:r>
      <w:r w:rsidRPr="00EF0794">
        <w:rPr>
          <w:kern w:val="0"/>
          <w:sz w:val="24"/>
        </w:rPr>
        <w:t>年半年度权益分派实施公告》，公司</w:t>
      </w:r>
      <w:r w:rsidRPr="00EF0794">
        <w:rPr>
          <w:kern w:val="0"/>
          <w:sz w:val="24"/>
        </w:rPr>
        <w:t>2022</w:t>
      </w:r>
      <w:r w:rsidRPr="00EF0794">
        <w:rPr>
          <w:kern w:val="0"/>
          <w:sz w:val="24"/>
        </w:rPr>
        <w:t>年半年度权益分派方案为：以公司目前总股本</w:t>
      </w:r>
      <w:r w:rsidRPr="00EF0794">
        <w:rPr>
          <w:kern w:val="0"/>
          <w:sz w:val="24"/>
        </w:rPr>
        <w:t>2,440,471,007</w:t>
      </w:r>
      <w:r w:rsidRPr="00EF0794">
        <w:rPr>
          <w:kern w:val="0"/>
          <w:sz w:val="24"/>
        </w:rPr>
        <w:t>股为基数，向全体股东每</w:t>
      </w:r>
      <w:r w:rsidRPr="00EF0794">
        <w:rPr>
          <w:kern w:val="0"/>
          <w:sz w:val="24"/>
        </w:rPr>
        <w:t>10</w:t>
      </w:r>
      <w:r w:rsidRPr="00EF0794">
        <w:rPr>
          <w:kern w:val="0"/>
          <w:sz w:val="24"/>
        </w:rPr>
        <w:t>股派发现金</w:t>
      </w:r>
      <w:r w:rsidRPr="00EF0794">
        <w:rPr>
          <w:kern w:val="0"/>
          <w:sz w:val="24"/>
        </w:rPr>
        <w:t>6.5280</w:t>
      </w:r>
      <w:r w:rsidRPr="00EF0794">
        <w:rPr>
          <w:kern w:val="0"/>
          <w:sz w:val="24"/>
        </w:rPr>
        <w:t>元（含税），股权登记日为</w:t>
      </w:r>
      <w:r w:rsidRPr="00EF0794">
        <w:rPr>
          <w:kern w:val="0"/>
          <w:sz w:val="24"/>
        </w:rPr>
        <w:t>2022</w:t>
      </w:r>
      <w:r w:rsidRPr="00EF0794">
        <w:rPr>
          <w:kern w:val="0"/>
          <w:sz w:val="24"/>
        </w:rPr>
        <w:t>年</w:t>
      </w:r>
      <w:r w:rsidRPr="00EF0794">
        <w:rPr>
          <w:kern w:val="0"/>
          <w:sz w:val="24"/>
        </w:rPr>
        <w:t>9</w:t>
      </w:r>
      <w:r w:rsidRPr="00EF0794">
        <w:rPr>
          <w:kern w:val="0"/>
          <w:sz w:val="24"/>
        </w:rPr>
        <w:t>月</w:t>
      </w:r>
      <w:r w:rsidRPr="00EF0794">
        <w:rPr>
          <w:kern w:val="0"/>
          <w:sz w:val="24"/>
        </w:rPr>
        <w:t>27</w:t>
      </w:r>
      <w:r w:rsidRPr="00EF0794">
        <w:rPr>
          <w:kern w:val="0"/>
          <w:sz w:val="24"/>
        </w:rPr>
        <w:t>日，除权除息日为</w:t>
      </w:r>
      <w:r w:rsidRPr="00EF0794">
        <w:rPr>
          <w:kern w:val="0"/>
          <w:sz w:val="24"/>
        </w:rPr>
        <w:t>2022</w:t>
      </w:r>
      <w:r w:rsidRPr="00EF0794">
        <w:rPr>
          <w:kern w:val="0"/>
          <w:sz w:val="24"/>
        </w:rPr>
        <w:t>年</w:t>
      </w:r>
      <w:r w:rsidRPr="00EF0794">
        <w:rPr>
          <w:kern w:val="0"/>
          <w:sz w:val="24"/>
        </w:rPr>
        <w:t>9</w:t>
      </w:r>
      <w:r w:rsidRPr="00EF0794">
        <w:rPr>
          <w:kern w:val="0"/>
          <w:sz w:val="24"/>
        </w:rPr>
        <w:t>月</w:t>
      </w:r>
      <w:r w:rsidRPr="00EF0794">
        <w:rPr>
          <w:kern w:val="0"/>
          <w:sz w:val="24"/>
        </w:rPr>
        <w:t>28</w:t>
      </w:r>
      <w:r w:rsidRPr="00EF0794">
        <w:rPr>
          <w:kern w:val="0"/>
          <w:sz w:val="24"/>
        </w:rPr>
        <w:t>日。</w:t>
      </w:r>
    </w:p>
    <w:p w14:paraId="563405B0" w14:textId="4733040D" w:rsidR="0076233B" w:rsidRPr="00EF0794" w:rsidRDefault="0076233B" w:rsidP="0076233B">
      <w:pPr>
        <w:spacing w:beforeLines="50" w:before="156" w:afterLines="50" w:after="156" w:line="360" w:lineRule="auto"/>
        <w:ind w:firstLineChars="200" w:firstLine="480"/>
        <w:rPr>
          <w:kern w:val="0"/>
          <w:sz w:val="24"/>
        </w:rPr>
      </w:pPr>
      <w:r w:rsidRPr="00EF0794">
        <w:rPr>
          <w:kern w:val="0"/>
          <w:sz w:val="24"/>
        </w:rPr>
        <w:t>根据《上市公司股权激励管理办法》以及公司《</w:t>
      </w:r>
      <w:r w:rsidRPr="00EF0794">
        <w:rPr>
          <w:kern w:val="0"/>
          <w:sz w:val="24"/>
        </w:rPr>
        <w:t>2021</w:t>
      </w:r>
      <w:r w:rsidRPr="00EF0794">
        <w:rPr>
          <w:kern w:val="0"/>
          <w:sz w:val="24"/>
        </w:rPr>
        <w:t>年股票期权与限制性股票激励计划（草案）》的相关规定应对</w:t>
      </w:r>
      <w:r w:rsidRPr="00EF0794">
        <w:rPr>
          <w:kern w:val="0"/>
          <w:sz w:val="24"/>
        </w:rPr>
        <w:t>2021</w:t>
      </w:r>
      <w:r w:rsidRPr="00EF0794">
        <w:rPr>
          <w:kern w:val="0"/>
          <w:sz w:val="24"/>
        </w:rPr>
        <w:t>年激励计划股票期权行权价格进行相应调整。调整后，</w:t>
      </w:r>
      <w:r w:rsidRPr="00EF0794">
        <w:rPr>
          <w:kern w:val="0"/>
          <w:sz w:val="24"/>
        </w:rPr>
        <w:t>2021</w:t>
      </w:r>
      <w:r w:rsidRPr="00EF0794">
        <w:rPr>
          <w:kern w:val="0"/>
          <w:sz w:val="24"/>
        </w:rPr>
        <w:t>年激励计划股票期权（</w:t>
      </w:r>
      <w:proofErr w:type="gramStart"/>
      <w:r w:rsidRPr="00EF0794">
        <w:rPr>
          <w:kern w:val="0"/>
          <w:sz w:val="24"/>
        </w:rPr>
        <w:t>含首次及</w:t>
      </w:r>
      <w:proofErr w:type="gramEnd"/>
      <w:r w:rsidRPr="00EF0794">
        <w:rPr>
          <w:kern w:val="0"/>
          <w:sz w:val="24"/>
        </w:rPr>
        <w:t>预留授予）行权价格由</w:t>
      </w:r>
      <w:r w:rsidRPr="00EF0794">
        <w:rPr>
          <w:kern w:val="0"/>
          <w:sz w:val="24"/>
        </w:rPr>
        <w:t>612.08</w:t>
      </w:r>
      <w:r w:rsidRPr="00EF0794">
        <w:rPr>
          <w:kern w:val="0"/>
          <w:sz w:val="24"/>
        </w:rPr>
        <w:t>元</w:t>
      </w:r>
      <w:r w:rsidRPr="00EF0794">
        <w:rPr>
          <w:kern w:val="0"/>
          <w:sz w:val="24"/>
        </w:rPr>
        <w:t>/</w:t>
      </w:r>
      <w:proofErr w:type="gramStart"/>
      <w:r w:rsidRPr="00EF0794">
        <w:rPr>
          <w:kern w:val="0"/>
          <w:sz w:val="24"/>
        </w:rPr>
        <w:t>份调整</w:t>
      </w:r>
      <w:proofErr w:type="gramEnd"/>
      <w:r w:rsidRPr="00EF0794">
        <w:rPr>
          <w:kern w:val="0"/>
          <w:sz w:val="24"/>
        </w:rPr>
        <w:t>为</w:t>
      </w:r>
      <w:r w:rsidRPr="00EF0794">
        <w:rPr>
          <w:kern w:val="0"/>
          <w:sz w:val="24"/>
        </w:rPr>
        <w:t>611.43</w:t>
      </w:r>
      <w:r w:rsidRPr="00EF0794">
        <w:rPr>
          <w:kern w:val="0"/>
          <w:sz w:val="24"/>
        </w:rPr>
        <w:t>元</w:t>
      </w:r>
      <w:r w:rsidRPr="00EF0794">
        <w:rPr>
          <w:kern w:val="0"/>
          <w:sz w:val="24"/>
        </w:rPr>
        <w:t>/</w:t>
      </w:r>
      <w:r w:rsidRPr="00EF0794">
        <w:rPr>
          <w:kern w:val="0"/>
          <w:sz w:val="24"/>
        </w:rPr>
        <w:t>份。</w:t>
      </w:r>
    </w:p>
    <w:p w14:paraId="24CB0DED" w14:textId="77777777" w:rsidR="0076233B" w:rsidRPr="00EF0794" w:rsidRDefault="0076233B" w:rsidP="0076233B">
      <w:pPr>
        <w:spacing w:beforeLines="50" w:before="156" w:afterLines="50" w:after="156" w:line="360" w:lineRule="auto"/>
        <w:ind w:firstLineChars="200" w:firstLine="482"/>
        <w:rPr>
          <w:b/>
          <w:kern w:val="0"/>
          <w:sz w:val="24"/>
        </w:rPr>
      </w:pPr>
      <w:r w:rsidRPr="00EF0794">
        <w:rPr>
          <w:b/>
          <w:kern w:val="0"/>
          <w:sz w:val="24"/>
        </w:rPr>
        <w:t>（二）激励对象人数及数量调整</w:t>
      </w:r>
    </w:p>
    <w:p w14:paraId="1CE20089" w14:textId="0B2F3866" w:rsidR="0076233B" w:rsidRPr="00EF0794" w:rsidRDefault="0076233B" w:rsidP="0076233B">
      <w:pPr>
        <w:spacing w:beforeLines="50" w:before="156" w:afterLines="50" w:after="156" w:line="360" w:lineRule="auto"/>
        <w:ind w:firstLineChars="200" w:firstLine="480"/>
        <w:rPr>
          <w:kern w:val="0"/>
          <w:sz w:val="24"/>
        </w:rPr>
      </w:pPr>
      <w:r w:rsidRPr="00EF0794">
        <w:rPr>
          <w:kern w:val="0"/>
          <w:sz w:val="24"/>
        </w:rPr>
        <w:t>公司于</w:t>
      </w:r>
      <w:r w:rsidRPr="00EF0794">
        <w:rPr>
          <w:kern w:val="0"/>
          <w:sz w:val="24"/>
        </w:rPr>
        <w:t>2022</w:t>
      </w:r>
      <w:r w:rsidRPr="00EF0794">
        <w:rPr>
          <w:kern w:val="0"/>
          <w:sz w:val="24"/>
        </w:rPr>
        <w:t>年</w:t>
      </w:r>
      <w:r w:rsidRPr="00EF0794">
        <w:rPr>
          <w:kern w:val="0"/>
          <w:sz w:val="24"/>
        </w:rPr>
        <w:t>10</w:t>
      </w:r>
      <w:r w:rsidRPr="00EF0794">
        <w:rPr>
          <w:kern w:val="0"/>
          <w:sz w:val="24"/>
        </w:rPr>
        <w:t>月</w:t>
      </w:r>
      <w:r w:rsidRPr="00EF0794">
        <w:rPr>
          <w:kern w:val="0"/>
          <w:sz w:val="24"/>
        </w:rPr>
        <w:t>21</w:t>
      </w:r>
      <w:r w:rsidRPr="00EF0794">
        <w:rPr>
          <w:kern w:val="0"/>
          <w:sz w:val="24"/>
        </w:rPr>
        <w:t>日召开第三届董事会第十四次会议和第三届监事会第十次会议，审议通过《关于注销</w:t>
      </w:r>
      <w:r w:rsidRPr="00EF0794">
        <w:rPr>
          <w:kern w:val="0"/>
          <w:sz w:val="24"/>
        </w:rPr>
        <w:t>2021</w:t>
      </w:r>
      <w:r w:rsidRPr="00EF0794">
        <w:rPr>
          <w:kern w:val="0"/>
          <w:sz w:val="24"/>
        </w:rPr>
        <w:t>年股票期权与限制性股票激励计划首次及预留授予股票期权的议案》，由于</w:t>
      </w:r>
      <w:bookmarkStart w:id="10" w:name="_Hlk86223952"/>
      <w:r w:rsidRPr="00EF0794">
        <w:rPr>
          <w:kern w:val="0"/>
          <w:sz w:val="24"/>
        </w:rPr>
        <w:t>2021</w:t>
      </w:r>
      <w:r w:rsidRPr="00EF0794">
        <w:rPr>
          <w:kern w:val="0"/>
          <w:sz w:val="24"/>
        </w:rPr>
        <w:t>年激励计划股票期权首次授予部分中的</w:t>
      </w:r>
      <w:r w:rsidRPr="00EF0794">
        <w:rPr>
          <w:kern w:val="0"/>
          <w:sz w:val="24"/>
        </w:rPr>
        <w:t>6</w:t>
      </w:r>
      <w:r w:rsidRPr="00EF0794">
        <w:rPr>
          <w:kern w:val="0"/>
          <w:sz w:val="24"/>
        </w:rPr>
        <w:t>名激励对象离职，前述人员已获</w:t>
      </w:r>
      <w:proofErr w:type="gramStart"/>
      <w:r w:rsidRPr="00EF0794">
        <w:rPr>
          <w:kern w:val="0"/>
          <w:sz w:val="24"/>
        </w:rPr>
        <w:t>授尚未</w:t>
      </w:r>
      <w:proofErr w:type="gramEnd"/>
      <w:r w:rsidRPr="00EF0794">
        <w:rPr>
          <w:kern w:val="0"/>
          <w:sz w:val="24"/>
        </w:rPr>
        <w:t>行权的</w:t>
      </w:r>
      <w:r w:rsidRPr="00EF0794">
        <w:rPr>
          <w:kern w:val="0"/>
          <w:sz w:val="24"/>
        </w:rPr>
        <w:t>36,970</w:t>
      </w:r>
      <w:r w:rsidR="00FE2437" w:rsidRPr="00EF0794">
        <w:rPr>
          <w:kern w:val="0"/>
          <w:sz w:val="24"/>
        </w:rPr>
        <w:t>份</w:t>
      </w:r>
      <w:r w:rsidRPr="00EF0794">
        <w:rPr>
          <w:kern w:val="0"/>
          <w:sz w:val="24"/>
        </w:rPr>
        <w:t>股票期权不得行权并由公司注销；预留授予部分中的</w:t>
      </w:r>
      <w:r w:rsidRPr="00EF0794">
        <w:rPr>
          <w:kern w:val="0"/>
          <w:sz w:val="24"/>
        </w:rPr>
        <w:t>1</w:t>
      </w:r>
      <w:r w:rsidRPr="00EF0794">
        <w:rPr>
          <w:kern w:val="0"/>
          <w:sz w:val="24"/>
        </w:rPr>
        <w:t>名激励对象离职，前述人员已获</w:t>
      </w:r>
      <w:proofErr w:type="gramStart"/>
      <w:r w:rsidRPr="00EF0794">
        <w:rPr>
          <w:kern w:val="0"/>
          <w:sz w:val="24"/>
        </w:rPr>
        <w:t>授尚未</w:t>
      </w:r>
      <w:proofErr w:type="gramEnd"/>
      <w:r w:rsidRPr="00EF0794">
        <w:rPr>
          <w:kern w:val="0"/>
          <w:sz w:val="24"/>
        </w:rPr>
        <w:t>行权</w:t>
      </w:r>
      <w:r w:rsidRPr="00EF0794">
        <w:rPr>
          <w:kern w:val="0"/>
          <w:sz w:val="24"/>
        </w:rPr>
        <w:lastRenderedPageBreak/>
        <w:t>的</w:t>
      </w:r>
      <w:r w:rsidRPr="00EF0794">
        <w:rPr>
          <w:kern w:val="0"/>
          <w:sz w:val="24"/>
        </w:rPr>
        <w:t>8,750</w:t>
      </w:r>
      <w:r w:rsidRPr="00EF0794">
        <w:rPr>
          <w:kern w:val="0"/>
          <w:sz w:val="24"/>
        </w:rPr>
        <w:t>份股票期权不得行权并由公司注销。</w:t>
      </w:r>
      <w:bookmarkEnd w:id="10"/>
    </w:p>
    <w:p w14:paraId="253B4D88" w14:textId="77777777" w:rsidR="0076233B" w:rsidRPr="00EF0794" w:rsidRDefault="0076233B" w:rsidP="0076233B">
      <w:pPr>
        <w:spacing w:beforeLines="50" w:before="156" w:afterLines="50" w:after="156" w:line="360" w:lineRule="auto"/>
        <w:ind w:firstLineChars="200" w:firstLine="480"/>
        <w:rPr>
          <w:kern w:val="0"/>
          <w:sz w:val="24"/>
        </w:rPr>
      </w:pPr>
      <w:r w:rsidRPr="00EF0794">
        <w:rPr>
          <w:kern w:val="0"/>
          <w:sz w:val="24"/>
        </w:rPr>
        <w:t>因此，</w:t>
      </w:r>
      <w:r w:rsidRPr="00EF0794">
        <w:rPr>
          <w:kern w:val="0"/>
          <w:sz w:val="24"/>
        </w:rPr>
        <w:t>2021</w:t>
      </w:r>
      <w:r w:rsidRPr="00EF0794">
        <w:rPr>
          <w:kern w:val="0"/>
          <w:sz w:val="24"/>
        </w:rPr>
        <w:t>年激励计划股票期权首次授予部分激励对象由</w:t>
      </w:r>
      <w:r w:rsidRPr="00EF0794">
        <w:rPr>
          <w:kern w:val="0"/>
          <w:sz w:val="24"/>
        </w:rPr>
        <w:t>277</w:t>
      </w:r>
      <w:r w:rsidRPr="00EF0794">
        <w:rPr>
          <w:kern w:val="0"/>
          <w:sz w:val="24"/>
        </w:rPr>
        <w:t>人调整为</w:t>
      </w:r>
      <w:r w:rsidRPr="00EF0794">
        <w:rPr>
          <w:kern w:val="0"/>
          <w:sz w:val="24"/>
        </w:rPr>
        <w:t>271</w:t>
      </w:r>
      <w:r w:rsidRPr="00EF0794">
        <w:rPr>
          <w:kern w:val="0"/>
          <w:sz w:val="24"/>
        </w:rPr>
        <w:t>人，股票期权数量由</w:t>
      </w:r>
      <w:r w:rsidRPr="00EF0794">
        <w:rPr>
          <w:kern w:val="0"/>
          <w:sz w:val="24"/>
        </w:rPr>
        <w:t>1,878,790</w:t>
      </w:r>
      <w:r w:rsidRPr="00EF0794">
        <w:rPr>
          <w:kern w:val="0"/>
          <w:sz w:val="24"/>
        </w:rPr>
        <w:t>份调整为</w:t>
      </w:r>
      <w:r w:rsidRPr="00EF0794">
        <w:rPr>
          <w:kern w:val="0"/>
          <w:sz w:val="24"/>
        </w:rPr>
        <w:t>1,841,820</w:t>
      </w:r>
      <w:r w:rsidRPr="00EF0794">
        <w:rPr>
          <w:kern w:val="0"/>
          <w:sz w:val="24"/>
        </w:rPr>
        <w:t>份；股票期权预留授予部分激励对象由</w:t>
      </w:r>
      <w:r w:rsidRPr="00EF0794">
        <w:rPr>
          <w:kern w:val="0"/>
          <w:sz w:val="24"/>
        </w:rPr>
        <w:t>71</w:t>
      </w:r>
      <w:r w:rsidRPr="00EF0794">
        <w:rPr>
          <w:kern w:val="0"/>
          <w:sz w:val="24"/>
        </w:rPr>
        <w:t>人调整为</w:t>
      </w:r>
      <w:r w:rsidRPr="00EF0794">
        <w:rPr>
          <w:kern w:val="0"/>
          <w:sz w:val="24"/>
        </w:rPr>
        <w:t>70</w:t>
      </w:r>
      <w:r w:rsidRPr="00EF0794">
        <w:rPr>
          <w:kern w:val="0"/>
          <w:sz w:val="24"/>
        </w:rPr>
        <w:t>人，股票期权数量由</w:t>
      </w:r>
      <w:r w:rsidRPr="00EF0794">
        <w:rPr>
          <w:kern w:val="0"/>
          <w:sz w:val="24"/>
        </w:rPr>
        <w:t>513,800</w:t>
      </w:r>
      <w:r w:rsidRPr="00EF0794">
        <w:rPr>
          <w:kern w:val="0"/>
          <w:sz w:val="24"/>
        </w:rPr>
        <w:t>份调整为</w:t>
      </w:r>
      <w:r w:rsidRPr="00EF0794">
        <w:rPr>
          <w:kern w:val="0"/>
          <w:sz w:val="24"/>
        </w:rPr>
        <w:t>505,050</w:t>
      </w:r>
      <w:r w:rsidRPr="00EF0794">
        <w:rPr>
          <w:kern w:val="0"/>
          <w:sz w:val="24"/>
        </w:rPr>
        <w:t>份。</w:t>
      </w:r>
    </w:p>
    <w:p w14:paraId="6F1A1200" w14:textId="77777777" w:rsidR="0076233B" w:rsidRPr="00EF0794" w:rsidRDefault="0076233B" w:rsidP="0076233B">
      <w:pPr>
        <w:spacing w:beforeLines="50" w:before="156" w:afterLines="50" w:after="156" w:line="360" w:lineRule="auto"/>
        <w:ind w:firstLineChars="200" w:firstLine="480"/>
        <w:rPr>
          <w:kern w:val="0"/>
          <w:sz w:val="24"/>
        </w:rPr>
      </w:pPr>
      <w:r w:rsidRPr="00EF0794">
        <w:rPr>
          <w:kern w:val="0"/>
          <w:sz w:val="24"/>
        </w:rPr>
        <w:t>除上述调整之外，公司本次实施的激励计划与已披露的</w:t>
      </w:r>
      <w:r w:rsidRPr="00EF0794">
        <w:rPr>
          <w:kern w:val="0"/>
          <w:sz w:val="24"/>
        </w:rPr>
        <w:t>2021</w:t>
      </w:r>
      <w:r w:rsidRPr="00EF0794">
        <w:rPr>
          <w:kern w:val="0"/>
          <w:sz w:val="24"/>
        </w:rPr>
        <w:t>年激励计划一致。</w:t>
      </w:r>
    </w:p>
    <w:p w14:paraId="563181A9" w14:textId="77777777" w:rsidR="0076233B" w:rsidRPr="00EF0794" w:rsidRDefault="0076233B" w:rsidP="0076233B">
      <w:pPr>
        <w:spacing w:beforeLines="50" w:before="156" w:afterLines="50" w:after="156" w:line="360" w:lineRule="auto"/>
        <w:ind w:firstLineChars="200" w:firstLine="482"/>
        <w:rPr>
          <w:b/>
          <w:bCs/>
          <w:sz w:val="24"/>
        </w:rPr>
      </w:pPr>
      <w:r w:rsidRPr="00EF0794">
        <w:rPr>
          <w:b/>
          <w:bCs/>
          <w:sz w:val="24"/>
        </w:rPr>
        <w:t>四、本次股票期权行权的具体情况</w:t>
      </w:r>
    </w:p>
    <w:p w14:paraId="44480D61" w14:textId="77777777" w:rsidR="0076233B" w:rsidRPr="00EF0794" w:rsidRDefault="0076233B" w:rsidP="0076233B">
      <w:pPr>
        <w:autoSpaceDE w:val="0"/>
        <w:autoSpaceDN w:val="0"/>
        <w:spacing w:beforeLines="50" w:before="156" w:line="360" w:lineRule="auto"/>
        <w:ind w:firstLineChars="200" w:firstLine="480"/>
        <w:rPr>
          <w:kern w:val="0"/>
          <w:sz w:val="24"/>
        </w:rPr>
      </w:pPr>
      <w:r w:rsidRPr="00EF0794">
        <w:rPr>
          <w:kern w:val="0"/>
          <w:sz w:val="24"/>
        </w:rPr>
        <w:t>（一）首次及预留授权日：</w:t>
      </w:r>
      <w:r w:rsidRPr="00EF0794">
        <w:rPr>
          <w:kern w:val="0"/>
          <w:sz w:val="24"/>
        </w:rPr>
        <w:t>2021</w:t>
      </w:r>
      <w:r w:rsidRPr="00EF0794">
        <w:rPr>
          <w:kern w:val="0"/>
          <w:sz w:val="24"/>
        </w:rPr>
        <w:t>年</w:t>
      </w:r>
      <w:r w:rsidRPr="00EF0794">
        <w:rPr>
          <w:kern w:val="0"/>
          <w:sz w:val="24"/>
        </w:rPr>
        <w:t>11</w:t>
      </w:r>
      <w:r w:rsidRPr="00EF0794">
        <w:rPr>
          <w:kern w:val="0"/>
          <w:sz w:val="24"/>
        </w:rPr>
        <w:t>月</w:t>
      </w:r>
      <w:r w:rsidRPr="00EF0794">
        <w:rPr>
          <w:kern w:val="0"/>
          <w:sz w:val="24"/>
        </w:rPr>
        <w:t>19</w:t>
      </w:r>
      <w:r w:rsidRPr="00EF0794">
        <w:rPr>
          <w:kern w:val="0"/>
          <w:sz w:val="24"/>
        </w:rPr>
        <w:t>日</w:t>
      </w:r>
    </w:p>
    <w:p w14:paraId="1B362C0A" w14:textId="36065DE3" w:rsidR="0076233B" w:rsidRPr="00EF0794" w:rsidRDefault="0076233B" w:rsidP="0076233B">
      <w:pPr>
        <w:autoSpaceDE w:val="0"/>
        <w:autoSpaceDN w:val="0"/>
        <w:spacing w:beforeLines="50" w:before="156" w:line="360" w:lineRule="auto"/>
        <w:ind w:firstLineChars="200" w:firstLine="480"/>
        <w:rPr>
          <w:kern w:val="0"/>
          <w:sz w:val="24"/>
        </w:rPr>
      </w:pPr>
      <w:r w:rsidRPr="00EF0794">
        <w:rPr>
          <w:kern w:val="0"/>
          <w:sz w:val="24"/>
        </w:rPr>
        <w:t>（二）首次及预留授予行权价格</w:t>
      </w:r>
      <w:r w:rsidR="00FE2437" w:rsidRPr="00EF0794">
        <w:rPr>
          <w:kern w:val="0"/>
          <w:sz w:val="24"/>
        </w:rPr>
        <w:t>（调整后）</w:t>
      </w:r>
      <w:r w:rsidRPr="00EF0794">
        <w:rPr>
          <w:kern w:val="0"/>
          <w:sz w:val="24"/>
        </w:rPr>
        <w:t>：</w:t>
      </w:r>
      <w:r w:rsidRPr="00EF0794">
        <w:rPr>
          <w:kern w:val="0"/>
          <w:sz w:val="24"/>
        </w:rPr>
        <w:t>611.43</w:t>
      </w:r>
      <w:r w:rsidRPr="00EF0794">
        <w:rPr>
          <w:kern w:val="0"/>
          <w:sz w:val="24"/>
        </w:rPr>
        <w:t>元</w:t>
      </w:r>
      <w:r w:rsidRPr="00EF0794">
        <w:rPr>
          <w:kern w:val="0"/>
          <w:sz w:val="24"/>
        </w:rPr>
        <w:t>/</w:t>
      </w:r>
      <w:r w:rsidRPr="00EF0794">
        <w:rPr>
          <w:kern w:val="0"/>
          <w:sz w:val="24"/>
        </w:rPr>
        <w:t>份</w:t>
      </w:r>
    </w:p>
    <w:p w14:paraId="08444165" w14:textId="77777777" w:rsidR="0076233B" w:rsidRPr="00EF0794" w:rsidRDefault="0076233B" w:rsidP="0076233B">
      <w:pPr>
        <w:autoSpaceDE w:val="0"/>
        <w:autoSpaceDN w:val="0"/>
        <w:spacing w:beforeLines="50" w:before="156" w:line="360" w:lineRule="auto"/>
        <w:ind w:firstLineChars="200" w:firstLine="480"/>
        <w:rPr>
          <w:kern w:val="0"/>
          <w:sz w:val="24"/>
        </w:rPr>
      </w:pPr>
      <w:r w:rsidRPr="00EF0794">
        <w:rPr>
          <w:kern w:val="0"/>
          <w:sz w:val="24"/>
        </w:rPr>
        <w:t>（三）本次可行权的批次：首次及预留授予第一个行权期</w:t>
      </w:r>
    </w:p>
    <w:p w14:paraId="3D8D774A" w14:textId="57BE0706" w:rsidR="0076233B" w:rsidRPr="00EF0794" w:rsidRDefault="0076233B" w:rsidP="0076233B">
      <w:pPr>
        <w:autoSpaceDE w:val="0"/>
        <w:autoSpaceDN w:val="0"/>
        <w:spacing w:beforeLines="50" w:before="156" w:line="360" w:lineRule="auto"/>
        <w:ind w:firstLineChars="200" w:firstLine="480"/>
        <w:rPr>
          <w:kern w:val="0"/>
          <w:sz w:val="24"/>
        </w:rPr>
      </w:pPr>
      <w:r w:rsidRPr="00EF0794">
        <w:rPr>
          <w:kern w:val="0"/>
          <w:sz w:val="24"/>
        </w:rPr>
        <w:t>（四）行权数量：</w:t>
      </w:r>
      <w:r w:rsidR="00C50980" w:rsidRPr="00EF0794">
        <w:rPr>
          <w:kern w:val="0"/>
          <w:sz w:val="24"/>
        </w:rPr>
        <w:t>468,110</w:t>
      </w:r>
      <w:r w:rsidR="00C50980" w:rsidRPr="00EF0794">
        <w:rPr>
          <w:kern w:val="0"/>
          <w:sz w:val="24"/>
        </w:rPr>
        <w:t>份，其中</w:t>
      </w:r>
      <w:r w:rsidRPr="00EF0794">
        <w:rPr>
          <w:kern w:val="0"/>
          <w:sz w:val="24"/>
        </w:rPr>
        <w:t>首次授予</w:t>
      </w:r>
      <w:r w:rsidR="00AD41F7" w:rsidRPr="00EF0794">
        <w:rPr>
          <w:kern w:val="0"/>
          <w:sz w:val="24"/>
        </w:rPr>
        <w:t>367,100</w:t>
      </w:r>
      <w:r w:rsidRPr="00EF0794">
        <w:rPr>
          <w:kern w:val="0"/>
          <w:sz w:val="24"/>
        </w:rPr>
        <w:t>份；预留授予</w:t>
      </w:r>
      <w:r w:rsidR="00AD41F7" w:rsidRPr="00EF0794">
        <w:rPr>
          <w:kern w:val="0"/>
          <w:sz w:val="24"/>
        </w:rPr>
        <w:t>101,010</w:t>
      </w:r>
      <w:r w:rsidRPr="00EF0794">
        <w:rPr>
          <w:kern w:val="0"/>
          <w:sz w:val="24"/>
        </w:rPr>
        <w:t>份</w:t>
      </w:r>
    </w:p>
    <w:p w14:paraId="7726232D" w14:textId="6005D32B" w:rsidR="0076233B" w:rsidRPr="00EF0794" w:rsidRDefault="0076233B" w:rsidP="0076233B">
      <w:pPr>
        <w:autoSpaceDE w:val="0"/>
        <w:autoSpaceDN w:val="0"/>
        <w:spacing w:beforeLines="50" w:before="156" w:line="360" w:lineRule="auto"/>
        <w:ind w:firstLineChars="200" w:firstLine="480"/>
        <w:rPr>
          <w:kern w:val="0"/>
          <w:sz w:val="24"/>
        </w:rPr>
      </w:pPr>
      <w:r w:rsidRPr="00EF0794">
        <w:rPr>
          <w:kern w:val="0"/>
          <w:sz w:val="24"/>
        </w:rPr>
        <w:t>（五）行权人数：</w:t>
      </w:r>
      <w:r w:rsidR="00C50980" w:rsidRPr="00EF0794">
        <w:rPr>
          <w:kern w:val="0"/>
          <w:sz w:val="24"/>
        </w:rPr>
        <w:t>339</w:t>
      </w:r>
      <w:r w:rsidR="00C50980" w:rsidRPr="00EF0794">
        <w:rPr>
          <w:kern w:val="0"/>
          <w:sz w:val="24"/>
        </w:rPr>
        <w:t>人，其中</w:t>
      </w:r>
      <w:r w:rsidRPr="00EF0794">
        <w:rPr>
          <w:kern w:val="0"/>
          <w:sz w:val="24"/>
        </w:rPr>
        <w:t>首次授予</w:t>
      </w:r>
      <w:r w:rsidRPr="00EF0794">
        <w:rPr>
          <w:kern w:val="0"/>
          <w:sz w:val="24"/>
        </w:rPr>
        <w:t>269</w:t>
      </w:r>
      <w:r w:rsidRPr="00EF0794">
        <w:rPr>
          <w:kern w:val="0"/>
          <w:sz w:val="24"/>
        </w:rPr>
        <w:t>人；预留授予</w:t>
      </w:r>
      <w:r w:rsidRPr="00EF0794">
        <w:rPr>
          <w:kern w:val="0"/>
          <w:sz w:val="24"/>
        </w:rPr>
        <w:t>70</w:t>
      </w:r>
      <w:r w:rsidRPr="00EF0794">
        <w:rPr>
          <w:kern w:val="0"/>
          <w:sz w:val="24"/>
        </w:rPr>
        <w:t>人</w:t>
      </w:r>
    </w:p>
    <w:p w14:paraId="64DF38C0" w14:textId="77777777" w:rsidR="007603D9" w:rsidRPr="00EF0794" w:rsidRDefault="007603D9" w:rsidP="007603D9">
      <w:pPr>
        <w:autoSpaceDE w:val="0"/>
        <w:autoSpaceDN w:val="0"/>
        <w:spacing w:beforeLines="50" w:before="156" w:line="360" w:lineRule="auto"/>
        <w:ind w:firstLineChars="200" w:firstLine="480"/>
        <w:rPr>
          <w:kern w:val="0"/>
          <w:sz w:val="24"/>
        </w:rPr>
      </w:pPr>
      <w:bookmarkStart w:id="11" w:name="_Hlk117103658"/>
      <w:r w:rsidRPr="00EF0794">
        <w:rPr>
          <w:kern w:val="0"/>
          <w:sz w:val="24"/>
        </w:rPr>
        <w:t>（六）股份来源：公司向激励对象定向发行本公司</w:t>
      </w:r>
      <w:r w:rsidRPr="00EF0794">
        <w:rPr>
          <w:kern w:val="0"/>
          <w:sz w:val="24"/>
        </w:rPr>
        <w:t>A</w:t>
      </w:r>
      <w:r w:rsidRPr="00EF0794">
        <w:rPr>
          <w:kern w:val="0"/>
          <w:sz w:val="24"/>
        </w:rPr>
        <w:t>股普通股股票</w:t>
      </w:r>
    </w:p>
    <w:p w14:paraId="29D11CC8" w14:textId="0803D865" w:rsidR="007603D9" w:rsidRPr="00EF0794" w:rsidRDefault="007603D9" w:rsidP="007603D9">
      <w:pPr>
        <w:spacing w:beforeLines="50" w:before="156" w:line="360" w:lineRule="auto"/>
        <w:ind w:firstLineChars="200" w:firstLine="480"/>
        <w:rPr>
          <w:sz w:val="24"/>
        </w:rPr>
      </w:pPr>
      <w:r w:rsidRPr="00EF0794">
        <w:rPr>
          <w:sz w:val="24"/>
        </w:rPr>
        <w:t>（七）首次及预留授予第一个行权期激励对象名单及行权情况：</w:t>
      </w:r>
      <w:bookmarkEnd w:id="11"/>
    </w:p>
    <w:p w14:paraId="0D2078A0" w14:textId="77777777" w:rsidR="0076233B" w:rsidRPr="00EF0794" w:rsidRDefault="0076233B" w:rsidP="0076233B">
      <w:pPr>
        <w:spacing w:beforeLines="50" w:before="156" w:line="360" w:lineRule="auto"/>
        <w:ind w:firstLineChars="200" w:firstLine="480"/>
        <w:rPr>
          <w:sz w:val="24"/>
        </w:rPr>
      </w:pPr>
      <w:r w:rsidRPr="00EF0794">
        <w:rPr>
          <w:sz w:val="24"/>
        </w:rPr>
        <w:t>1</w:t>
      </w:r>
      <w:r w:rsidRPr="00EF0794">
        <w:rPr>
          <w:sz w:val="24"/>
        </w:rPr>
        <w:t>、首次授予部分第一个行权期激励对象名单及行权情况：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1524"/>
        <w:gridCol w:w="1112"/>
        <w:gridCol w:w="1274"/>
        <w:gridCol w:w="1133"/>
        <w:gridCol w:w="1497"/>
      </w:tblGrid>
      <w:tr w:rsidR="0076233B" w:rsidRPr="00EF0794" w14:paraId="52E306D2" w14:textId="77777777" w:rsidTr="00666707">
        <w:trPr>
          <w:cantSplit/>
          <w:trHeight w:val="397"/>
          <w:jc w:val="center"/>
        </w:trPr>
        <w:tc>
          <w:tcPr>
            <w:tcW w:w="1058" w:type="pct"/>
            <w:shd w:val="clear" w:color="auto" w:fill="D9D9D9" w:themeFill="background1" w:themeFillShade="D9"/>
            <w:vAlign w:val="center"/>
            <w:hideMark/>
          </w:tcPr>
          <w:p w14:paraId="31C04E98" w14:textId="77777777" w:rsidR="0076233B" w:rsidRPr="00EF0794" w:rsidRDefault="0076233B" w:rsidP="00EE34F2">
            <w:pPr>
              <w:widowControl/>
              <w:jc w:val="center"/>
              <w:rPr>
                <w:b/>
                <w:bCs/>
                <w:color w:val="000000" w:themeColor="text1"/>
                <w:kern w:val="0"/>
                <w:szCs w:val="21"/>
              </w:rPr>
            </w:pPr>
            <w:r w:rsidRPr="00EF0794">
              <w:rPr>
                <w:b/>
                <w:bCs/>
                <w:color w:val="000000" w:themeColor="text1"/>
                <w:kern w:val="0"/>
                <w:szCs w:val="21"/>
              </w:rPr>
              <w:t>激励对象</w:t>
            </w:r>
          </w:p>
        </w:tc>
        <w:tc>
          <w:tcPr>
            <w:tcW w:w="918" w:type="pct"/>
            <w:shd w:val="clear" w:color="auto" w:fill="D9D9D9" w:themeFill="background1" w:themeFillShade="D9"/>
            <w:vAlign w:val="center"/>
          </w:tcPr>
          <w:p w14:paraId="3993E719" w14:textId="77777777" w:rsidR="0076233B" w:rsidRPr="00EF0794" w:rsidRDefault="0076233B" w:rsidP="00EE34F2">
            <w:pPr>
              <w:widowControl/>
              <w:jc w:val="center"/>
              <w:rPr>
                <w:b/>
                <w:bCs/>
                <w:color w:val="000000" w:themeColor="text1"/>
                <w:kern w:val="0"/>
                <w:szCs w:val="21"/>
              </w:rPr>
            </w:pPr>
            <w:r w:rsidRPr="00EF0794">
              <w:rPr>
                <w:b/>
                <w:bCs/>
                <w:color w:val="000000" w:themeColor="text1"/>
                <w:kern w:val="0"/>
                <w:szCs w:val="21"/>
              </w:rPr>
              <w:t>职务</w:t>
            </w:r>
          </w:p>
        </w:tc>
        <w:tc>
          <w:tcPr>
            <w:tcW w:w="670" w:type="pct"/>
            <w:shd w:val="clear" w:color="auto" w:fill="D9D9D9" w:themeFill="background1" w:themeFillShade="D9"/>
            <w:vAlign w:val="center"/>
          </w:tcPr>
          <w:p w14:paraId="7A1587AA" w14:textId="77777777" w:rsidR="0076233B" w:rsidRPr="00EF0794" w:rsidRDefault="0076233B" w:rsidP="00EE34F2">
            <w:pPr>
              <w:widowControl/>
              <w:jc w:val="center"/>
              <w:rPr>
                <w:b/>
                <w:bCs/>
                <w:color w:val="000000" w:themeColor="text1"/>
                <w:kern w:val="0"/>
                <w:szCs w:val="21"/>
              </w:rPr>
            </w:pPr>
            <w:r w:rsidRPr="00EF0794">
              <w:rPr>
                <w:b/>
                <w:bCs/>
                <w:color w:val="000000" w:themeColor="text1"/>
                <w:kern w:val="0"/>
                <w:szCs w:val="21"/>
              </w:rPr>
              <w:t>国籍</w:t>
            </w:r>
          </w:p>
        </w:tc>
        <w:tc>
          <w:tcPr>
            <w:tcW w:w="768" w:type="pct"/>
            <w:shd w:val="clear" w:color="auto" w:fill="D9D9D9" w:themeFill="background1" w:themeFillShade="D9"/>
            <w:vAlign w:val="center"/>
            <w:hideMark/>
          </w:tcPr>
          <w:p w14:paraId="27027FF1" w14:textId="77777777" w:rsidR="0076233B" w:rsidRPr="00EF0794" w:rsidRDefault="0076233B" w:rsidP="00EE34F2">
            <w:pPr>
              <w:widowControl/>
              <w:jc w:val="center"/>
              <w:rPr>
                <w:b/>
                <w:bCs/>
                <w:color w:val="000000" w:themeColor="text1"/>
                <w:kern w:val="0"/>
                <w:szCs w:val="21"/>
              </w:rPr>
            </w:pPr>
            <w:r w:rsidRPr="00EF0794">
              <w:rPr>
                <w:b/>
                <w:bCs/>
                <w:color w:val="000000" w:themeColor="text1"/>
                <w:kern w:val="0"/>
                <w:szCs w:val="21"/>
              </w:rPr>
              <w:t>本次行权前持有的股票期权数量</w:t>
            </w:r>
            <w:r w:rsidRPr="00EF0794">
              <w:rPr>
                <w:b/>
                <w:bCs/>
                <w:color w:val="000000" w:themeColor="text1"/>
                <w:kern w:val="0"/>
                <w:szCs w:val="21"/>
              </w:rPr>
              <w:t>(</w:t>
            </w:r>
            <w:r w:rsidRPr="00EF0794">
              <w:rPr>
                <w:b/>
                <w:bCs/>
                <w:color w:val="000000" w:themeColor="text1"/>
                <w:kern w:val="0"/>
                <w:szCs w:val="21"/>
              </w:rPr>
              <w:t>份</w:t>
            </w:r>
            <w:r w:rsidRPr="00EF0794">
              <w:rPr>
                <w:b/>
                <w:bCs/>
                <w:color w:val="000000" w:themeColor="text1"/>
                <w:kern w:val="0"/>
                <w:szCs w:val="21"/>
              </w:rPr>
              <w:t>)</w:t>
            </w:r>
          </w:p>
        </w:tc>
        <w:tc>
          <w:tcPr>
            <w:tcW w:w="683" w:type="pct"/>
            <w:shd w:val="clear" w:color="auto" w:fill="D9D9D9" w:themeFill="background1" w:themeFillShade="D9"/>
            <w:vAlign w:val="center"/>
            <w:hideMark/>
          </w:tcPr>
          <w:p w14:paraId="25F30BB5" w14:textId="77777777" w:rsidR="0076233B" w:rsidRPr="00EF0794" w:rsidRDefault="0076233B" w:rsidP="00EE34F2">
            <w:pPr>
              <w:widowControl/>
              <w:jc w:val="center"/>
              <w:rPr>
                <w:b/>
                <w:bCs/>
                <w:color w:val="000000" w:themeColor="text1"/>
                <w:kern w:val="0"/>
                <w:szCs w:val="21"/>
              </w:rPr>
            </w:pPr>
            <w:r w:rsidRPr="00EF0794">
              <w:rPr>
                <w:b/>
                <w:bCs/>
                <w:color w:val="000000" w:themeColor="text1"/>
                <w:kern w:val="0"/>
                <w:szCs w:val="21"/>
              </w:rPr>
              <w:t>本次行权的股票期权数量（份）</w:t>
            </w:r>
          </w:p>
        </w:tc>
        <w:tc>
          <w:tcPr>
            <w:tcW w:w="902" w:type="pct"/>
            <w:shd w:val="clear" w:color="auto" w:fill="D9D9D9" w:themeFill="background1" w:themeFillShade="D9"/>
            <w:vAlign w:val="center"/>
            <w:hideMark/>
          </w:tcPr>
          <w:p w14:paraId="7814D958" w14:textId="77777777" w:rsidR="0076233B" w:rsidRPr="00EF0794" w:rsidRDefault="0076233B" w:rsidP="00EE34F2">
            <w:pPr>
              <w:widowControl/>
              <w:jc w:val="center"/>
              <w:rPr>
                <w:b/>
                <w:bCs/>
                <w:color w:val="000000" w:themeColor="text1"/>
                <w:kern w:val="0"/>
                <w:szCs w:val="21"/>
              </w:rPr>
            </w:pPr>
            <w:r w:rsidRPr="00EF0794">
              <w:rPr>
                <w:b/>
                <w:bCs/>
                <w:color w:val="000000" w:themeColor="text1"/>
                <w:kern w:val="0"/>
                <w:szCs w:val="21"/>
              </w:rPr>
              <w:t>本次实际可行权股票期权数量占本次激励计划授予股票期权总数的比例</w:t>
            </w:r>
          </w:p>
        </w:tc>
      </w:tr>
      <w:tr w:rsidR="0076233B" w:rsidRPr="00EF0794" w14:paraId="4595CA7A" w14:textId="77777777" w:rsidTr="00666707">
        <w:trPr>
          <w:cantSplit/>
          <w:trHeight w:val="397"/>
          <w:jc w:val="center"/>
        </w:trPr>
        <w:tc>
          <w:tcPr>
            <w:tcW w:w="1058" w:type="pct"/>
            <w:shd w:val="clear" w:color="auto" w:fill="auto"/>
            <w:vAlign w:val="center"/>
          </w:tcPr>
          <w:p w14:paraId="6A8977E2" w14:textId="77777777" w:rsidR="0076233B" w:rsidRPr="00EF0794" w:rsidRDefault="0076233B" w:rsidP="00EE34F2">
            <w:pPr>
              <w:widowControl/>
              <w:jc w:val="center"/>
              <w:rPr>
                <w:color w:val="000000" w:themeColor="text1"/>
              </w:rPr>
            </w:pPr>
            <w:r w:rsidRPr="00EF0794">
              <w:rPr>
                <w:color w:val="000000" w:themeColor="text1"/>
              </w:rPr>
              <w:t>GE XIAOMING</w:t>
            </w:r>
          </w:p>
        </w:tc>
        <w:tc>
          <w:tcPr>
            <w:tcW w:w="918" w:type="pct"/>
            <w:shd w:val="clear" w:color="auto" w:fill="auto"/>
            <w:vAlign w:val="center"/>
          </w:tcPr>
          <w:p w14:paraId="36C911E3" w14:textId="77777777" w:rsidR="0076233B" w:rsidRPr="00EF0794" w:rsidRDefault="0076233B" w:rsidP="00EE34F2">
            <w:pPr>
              <w:widowControl/>
              <w:jc w:val="center"/>
              <w:rPr>
                <w:color w:val="000000" w:themeColor="text1"/>
              </w:rPr>
            </w:pPr>
            <w:r w:rsidRPr="00EF0794">
              <w:rPr>
                <w:color w:val="000000" w:themeColor="text1"/>
              </w:rPr>
              <w:t>中层管理人员</w:t>
            </w:r>
          </w:p>
        </w:tc>
        <w:tc>
          <w:tcPr>
            <w:tcW w:w="670" w:type="pct"/>
            <w:shd w:val="clear" w:color="auto" w:fill="auto"/>
            <w:vAlign w:val="center"/>
          </w:tcPr>
          <w:p w14:paraId="5AC003CF" w14:textId="77777777" w:rsidR="0076233B" w:rsidRPr="00EF0794" w:rsidRDefault="0076233B" w:rsidP="00EE34F2">
            <w:pPr>
              <w:widowControl/>
              <w:jc w:val="center"/>
              <w:rPr>
                <w:color w:val="000000" w:themeColor="text1"/>
              </w:rPr>
            </w:pPr>
            <w:r w:rsidRPr="00EF0794">
              <w:rPr>
                <w:color w:val="000000" w:themeColor="text1"/>
              </w:rPr>
              <w:t>新加坡</w:t>
            </w:r>
          </w:p>
        </w:tc>
        <w:tc>
          <w:tcPr>
            <w:tcW w:w="768" w:type="pct"/>
            <w:shd w:val="clear" w:color="auto" w:fill="auto"/>
            <w:vAlign w:val="center"/>
          </w:tcPr>
          <w:p w14:paraId="135F0DF2" w14:textId="77777777" w:rsidR="0076233B" w:rsidRPr="00EF0794" w:rsidRDefault="0076233B" w:rsidP="00EE34F2">
            <w:pPr>
              <w:widowControl/>
              <w:jc w:val="right"/>
              <w:rPr>
                <w:color w:val="000000" w:themeColor="text1"/>
              </w:rPr>
            </w:pPr>
            <w:r w:rsidRPr="00EF0794">
              <w:rPr>
                <w:color w:val="000000" w:themeColor="text1"/>
              </w:rPr>
              <w:t xml:space="preserve"> 1,360 </w:t>
            </w:r>
          </w:p>
        </w:tc>
        <w:tc>
          <w:tcPr>
            <w:tcW w:w="683" w:type="pct"/>
            <w:shd w:val="clear" w:color="auto" w:fill="auto"/>
            <w:vAlign w:val="center"/>
          </w:tcPr>
          <w:p w14:paraId="40A6A60D" w14:textId="77777777" w:rsidR="0076233B" w:rsidRPr="00EF0794" w:rsidRDefault="0076233B" w:rsidP="00EE34F2">
            <w:pPr>
              <w:widowControl/>
              <w:jc w:val="right"/>
              <w:rPr>
                <w:color w:val="000000" w:themeColor="text1"/>
              </w:rPr>
            </w:pPr>
            <w:r w:rsidRPr="00EF0794">
              <w:t xml:space="preserve"> 272 </w:t>
            </w:r>
          </w:p>
        </w:tc>
        <w:tc>
          <w:tcPr>
            <w:tcW w:w="902" w:type="pct"/>
            <w:shd w:val="clear" w:color="auto" w:fill="auto"/>
            <w:vAlign w:val="center"/>
          </w:tcPr>
          <w:p w14:paraId="543D0FD9" w14:textId="77777777" w:rsidR="0076233B" w:rsidRPr="00EF0794" w:rsidRDefault="0076233B" w:rsidP="00EE34F2">
            <w:pPr>
              <w:widowControl/>
              <w:jc w:val="center"/>
              <w:rPr>
                <w:color w:val="000000" w:themeColor="text1"/>
              </w:rPr>
            </w:pPr>
            <w:r w:rsidRPr="00EF0794">
              <w:rPr>
                <w:color w:val="000000" w:themeColor="text1"/>
              </w:rPr>
              <w:t>20%</w:t>
            </w:r>
          </w:p>
        </w:tc>
      </w:tr>
      <w:tr w:rsidR="0076233B" w:rsidRPr="00EF0794" w14:paraId="070D9BE7" w14:textId="77777777" w:rsidTr="00666707">
        <w:trPr>
          <w:cantSplit/>
          <w:trHeight w:val="397"/>
          <w:jc w:val="center"/>
        </w:trPr>
        <w:tc>
          <w:tcPr>
            <w:tcW w:w="1058" w:type="pct"/>
            <w:shd w:val="clear" w:color="auto" w:fill="auto"/>
            <w:vAlign w:val="center"/>
          </w:tcPr>
          <w:p w14:paraId="1E859193" w14:textId="77777777" w:rsidR="0076233B" w:rsidRPr="00EF0794" w:rsidRDefault="0076233B" w:rsidP="00EE34F2">
            <w:pPr>
              <w:widowControl/>
              <w:jc w:val="center"/>
              <w:rPr>
                <w:color w:val="000000" w:themeColor="text1"/>
              </w:rPr>
            </w:pPr>
            <w:r w:rsidRPr="00EF0794">
              <w:rPr>
                <w:color w:val="000000" w:themeColor="text1"/>
              </w:rPr>
              <w:t>JIANG BO</w:t>
            </w:r>
          </w:p>
        </w:tc>
        <w:tc>
          <w:tcPr>
            <w:tcW w:w="918" w:type="pct"/>
            <w:shd w:val="clear" w:color="auto" w:fill="auto"/>
            <w:vAlign w:val="center"/>
          </w:tcPr>
          <w:p w14:paraId="052E736C" w14:textId="77777777" w:rsidR="0076233B" w:rsidRPr="00EF0794" w:rsidRDefault="0076233B" w:rsidP="00EE34F2">
            <w:pPr>
              <w:widowControl/>
              <w:jc w:val="center"/>
              <w:rPr>
                <w:color w:val="000000" w:themeColor="text1"/>
              </w:rPr>
            </w:pPr>
            <w:r w:rsidRPr="00EF0794">
              <w:rPr>
                <w:color w:val="000000" w:themeColor="text1"/>
              </w:rPr>
              <w:t>中层管理人员</w:t>
            </w:r>
          </w:p>
        </w:tc>
        <w:tc>
          <w:tcPr>
            <w:tcW w:w="670" w:type="pct"/>
            <w:shd w:val="clear" w:color="auto" w:fill="auto"/>
            <w:vAlign w:val="center"/>
          </w:tcPr>
          <w:p w14:paraId="620EA07E" w14:textId="77777777" w:rsidR="0076233B" w:rsidRPr="00EF0794" w:rsidRDefault="0076233B" w:rsidP="00EE34F2">
            <w:pPr>
              <w:widowControl/>
              <w:jc w:val="center"/>
              <w:rPr>
                <w:color w:val="000000" w:themeColor="text1"/>
              </w:rPr>
            </w:pPr>
            <w:r w:rsidRPr="00EF0794">
              <w:rPr>
                <w:color w:val="000000" w:themeColor="text1"/>
              </w:rPr>
              <w:t>法国</w:t>
            </w:r>
          </w:p>
        </w:tc>
        <w:tc>
          <w:tcPr>
            <w:tcW w:w="768" w:type="pct"/>
            <w:shd w:val="clear" w:color="auto" w:fill="auto"/>
            <w:vAlign w:val="center"/>
          </w:tcPr>
          <w:p w14:paraId="662FECB2" w14:textId="77777777" w:rsidR="0076233B" w:rsidRPr="00EF0794" w:rsidRDefault="0076233B" w:rsidP="00EE34F2">
            <w:pPr>
              <w:widowControl/>
              <w:jc w:val="right"/>
              <w:rPr>
                <w:color w:val="000000" w:themeColor="text1"/>
              </w:rPr>
            </w:pPr>
            <w:r w:rsidRPr="00EF0794">
              <w:rPr>
                <w:color w:val="000000" w:themeColor="text1"/>
              </w:rPr>
              <w:t xml:space="preserve"> 12,440 </w:t>
            </w:r>
          </w:p>
        </w:tc>
        <w:tc>
          <w:tcPr>
            <w:tcW w:w="683" w:type="pct"/>
            <w:shd w:val="clear" w:color="auto" w:fill="auto"/>
            <w:vAlign w:val="center"/>
          </w:tcPr>
          <w:p w14:paraId="57984A38" w14:textId="77777777" w:rsidR="0076233B" w:rsidRPr="00EF0794" w:rsidRDefault="0076233B" w:rsidP="00EE34F2">
            <w:pPr>
              <w:widowControl/>
              <w:jc w:val="right"/>
              <w:rPr>
                <w:color w:val="000000" w:themeColor="text1"/>
              </w:rPr>
            </w:pPr>
            <w:r w:rsidRPr="00EF0794">
              <w:t xml:space="preserve"> 2,488 </w:t>
            </w:r>
          </w:p>
        </w:tc>
        <w:tc>
          <w:tcPr>
            <w:tcW w:w="902" w:type="pct"/>
            <w:shd w:val="clear" w:color="auto" w:fill="auto"/>
            <w:vAlign w:val="center"/>
          </w:tcPr>
          <w:p w14:paraId="08643338" w14:textId="77777777" w:rsidR="0076233B" w:rsidRPr="00EF0794" w:rsidRDefault="0076233B" w:rsidP="00EE34F2">
            <w:pPr>
              <w:widowControl/>
              <w:jc w:val="center"/>
              <w:rPr>
                <w:color w:val="000000" w:themeColor="text1"/>
              </w:rPr>
            </w:pPr>
            <w:r w:rsidRPr="00EF0794">
              <w:rPr>
                <w:color w:val="000000" w:themeColor="text1"/>
              </w:rPr>
              <w:t>20%</w:t>
            </w:r>
          </w:p>
        </w:tc>
      </w:tr>
      <w:tr w:rsidR="0076233B" w:rsidRPr="00EF0794" w14:paraId="3DADAAA2" w14:textId="77777777" w:rsidTr="00666707">
        <w:trPr>
          <w:cantSplit/>
          <w:trHeight w:val="397"/>
          <w:jc w:val="center"/>
        </w:trPr>
        <w:tc>
          <w:tcPr>
            <w:tcW w:w="1058" w:type="pct"/>
            <w:shd w:val="clear" w:color="auto" w:fill="auto"/>
            <w:vAlign w:val="center"/>
          </w:tcPr>
          <w:p w14:paraId="30229502" w14:textId="77777777" w:rsidR="0076233B" w:rsidRPr="00EF0794" w:rsidRDefault="0076233B" w:rsidP="00EE34F2">
            <w:pPr>
              <w:widowControl/>
              <w:jc w:val="center"/>
              <w:rPr>
                <w:color w:val="000000" w:themeColor="text1"/>
              </w:rPr>
            </w:pPr>
            <w:r w:rsidRPr="00EF0794">
              <w:rPr>
                <w:color w:val="000000" w:themeColor="text1"/>
              </w:rPr>
              <w:t>QIAN WUQUAN</w:t>
            </w:r>
          </w:p>
        </w:tc>
        <w:tc>
          <w:tcPr>
            <w:tcW w:w="918" w:type="pct"/>
            <w:shd w:val="clear" w:color="auto" w:fill="auto"/>
            <w:vAlign w:val="center"/>
          </w:tcPr>
          <w:p w14:paraId="39BB2806" w14:textId="77777777" w:rsidR="0076233B" w:rsidRPr="00EF0794" w:rsidRDefault="0076233B" w:rsidP="00EE34F2">
            <w:pPr>
              <w:widowControl/>
              <w:jc w:val="center"/>
              <w:rPr>
                <w:color w:val="000000" w:themeColor="text1"/>
              </w:rPr>
            </w:pPr>
            <w:r w:rsidRPr="00EF0794">
              <w:rPr>
                <w:color w:val="000000" w:themeColor="text1"/>
              </w:rPr>
              <w:t>中层管理人员</w:t>
            </w:r>
          </w:p>
        </w:tc>
        <w:tc>
          <w:tcPr>
            <w:tcW w:w="670" w:type="pct"/>
            <w:shd w:val="clear" w:color="auto" w:fill="auto"/>
            <w:vAlign w:val="center"/>
          </w:tcPr>
          <w:p w14:paraId="5BFB2DCB" w14:textId="77777777" w:rsidR="0076233B" w:rsidRPr="00EF0794" w:rsidRDefault="0076233B" w:rsidP="00EE34F2">
            <w:pPr>
              <w:widowControl/>
              <w:jc w:val="center"/>
              <w:rPr>
                <w:color w:val="000000" w:themeColor="text1"/>
              </w:rPr>
            </w:pPr>
            <w:r w:rsidRPr="00EF0794">
              <w:rPr>
                <w:color w:val="000000" w:themeColor="text1"/>
              </w:rPr>
              <w:t>新加坡</w:t>
            </w:r>
          </w:p>
        </w:tc>
        <w:tc>
          <w:tcPr>
            <w:tcW w:w="768" w:type="pct"/>
            <w:shd w:val="clear" w:color="auto" w:fill="auto"/>
            <w:vAlign w:val="center"/>
          </w:tcPr>
          <w:p w14:paraId="4E18A6C0" w14:textId="77777777" w:rsidR="0076233B" w:rsidRPr="00EF0794" w:rsidRDefault="0076233B" w:rsidP="00EE34F2">
            <w:pPr>
              <w:widowControl/>
              <w:jc w:val="right"/>
              <w:rPr>
                <w:color w:val="000000" w:themeColor="text1"/>
              </w:rPr>
            </w:pPr>
            <w:r w:rsidRPr="00EF0794">
              <w:rPr>
                <w:color w:val="000000" w:themeColor="text1"/>
              </w:rPr>
              <w:t xml:space="preserve"> 13,780 </w:t>
            </w:r>
          </w:p>
        </w:tc>
        <w:tc>
          <w:tcPr>
            <w:tcW w:w="683" w:type="pct"/>
            <w:shd w:val="clear" w:color="auto" w:fill="auto"/>
            <w:vAlign w:val="center"/>
          </w:tcPr>
          <w:p w14:paraId="22C20412" w14:textId="77777777" w:rsidR="0076233B" w:rsidRPr="00EF0794" w:rsidRDefault="0076233B" w:rsidP="00EE34F2">
            <w:pPr>
              <w:widowControl/>
              <w:jc w:val="right"/>
              <w:rPr>
                <w:color w:val="000000" w:themeColor="text1"/>
              </w:rPr>
            </w:pPr>
            <w:r w:rsidRPr="00EF0794">
              <w:t xml:space="preserve"> 2,756 </w:t>
            </w:r>
          </w:p>
        </w:tc>
        <w:tc>
          <w:tcPr>
            <w:tcW w:w="902" w:type="pct"/>
            <w:shd w:val="clear" w:color="auto" w:fill="auto"/>
            <w:vAlign w:val="center"/>
          </w:tcPr>
          <w:p w14:paraId="0822E4BC" w14:textId="77777777" w:rsidR="0076233B" w:rsidRPr="00EF0794" w:rsidRDefault="0076233B" w:rsidP="00EE34F2">
            <w:pPr>
              <w:widowControl/>
              <w:jc w:val="center"/>
              <w:rPr>
                <w:color w:val="000000" w:themeColor="text1"/>
              </w:rPr>
            </w:pPr>
            <w:r w:rsidRPr="00EF0794">
              <w:rPr>
                <w:color w:val="000000" w:themeColor="text1"/>
              </w:rPr>
              <w:t>20%</w:t>
            </w:r>
          </w:p>
        </w:tc>
      </w:tr>
      <w:tr w:rsidR="0076233B" w:rsidRPr="00EF0794" w14:paraId="5DCA3E82" w14:textId="77777777" w:rsidTr="00666707">
        <w:trPr>
          <w:cantSplit/>
          <w:trHeight w:val="397"/>
          <w:jc w:val="center"/>
        </w:trPr>
        <w:tc>
          <w:tcPr>
            <w:tcW w:w="1058" w:type="pct"/>
            <w:shd w:val="clear" w:color="auto" w:fill="auto"/>
            <w:vAlign w:val="center"/>
          </w:tcPr>
          <w:p w14:paraId="4A77D461" w14:textId="77777777" w:rsidR="0076233B" w:rsidRPr="00EF0794" w:rsidRDefault="0076233B" w:rsidP="00EE34F2">
            <w:pPr>
              <w:widowControl/>
              <w:jc w:val="center"/>
              <w:rPr>
                <w:color w:val="000000" w:themeColor="text1"/>
              </w:rPr>
            </w:pPr>
            <w:r w:rsidRPr="00EF0794">
              <w:rPr>
                <w:color w:val="000000" w:themeColor="text1"/>
              </w:rPr>
              <w:t>YU TAO</w:t>
            </w:r>
          </w:p>
        </w:tc>
        <w:tc>
          <w:tcPr>
            <w:tcW w:w="918" w:type="pct"/>
            <w:shd w:val="clear" w:color="auto" w:fill="auto"/>
            <w:vAlign w:val="center"/>
          </w:tcPr>
          <w:p w14:paraId="721B6AAC" w14:textId="77777777" w:rsidR="0076233B" w:rsidRPr="00EF0794" w:rsidRDefault="0076233B" w:rsidP="00EE34F2">
            <w:pPr>
              <w:widowControl/>
              <w:jc w:val="center"/>
              <w:rPr>
                <w:color w:val="000000" w:themeColor="text1"/>
              </w:rPr>
            </w:pPr>
            <w:r w:rsidRPr="00EF0794">
              <w:rPr>
                <w:color w:val="000000" w:themeColor="text1"/>
              </w:rPr>
              <w:t>中层管理人员</w:t>
            </w:r>
          </w:p>
        </w:tc>
        <w:tc>
          <w:tcPr>
            <w:tcW w:w="670" w:type="pct"/>
            <w:shd w:val="clear" w:color="auto" w:fill="auto"/>
            <w:vAlign w:val="center"/>
          </w:tcPr>
          <w:p w14:paraId="20D835BB" w14:textId="77777777" w:rsidR="0076233B" w:rsidRPr="00EF0794" w:rsidRDefault="0076233B" w:rsidP="00EE34F2">
            <w:pPr>
              <w:widowControl/>
              <w:jc w:val="center"/>
              <w:rPr>
                <w:color w:val="000000" w:themeColor="text1"/>
              </w:rPr>
            </w:pPr>
            <w:r w:rsidRPr="00EF0794">
              <w:rPr>
                <w:color w:val="000000" w:themeColor="text1"/>
              </w:rPr>
              <w:t>澳大利亚</w:t>
            </w:r>
          </w:p>
        </w:tc>
        <w:tc>
          <w:tcPr>
            <w:tcW w:w="768" w:type="pct"/>
            <w:shd w:val="clear" w:color="auto" w:fill="auto"/>
            <w:vAlign w:val="center"/>
          </w:tcPr>
          <w:p w14:paraId="21921A7B" w14:textId="77777777" w:rsidR="0076233B" w:rsidRPr="00EF0794" w:rsidRDefault="0076233B" w:rsidP="00EE34F2">
            <w:pPr>
              <w:widowControl/>
              <w:jc w:val="right"/>
              <w:rPr>
                <w:color w:val="000000" w:themeColor="text1"/>
              </w:rPr>
            </w:pPr>
            <w:r w:rsidRPr="00EF0794">
              <w:rPr>
                <w:color w:val="000000" w:themeColor="text1"/>
              </w:rPr>
              <w:t xml:space="preserve"> 4,070 </w:t>
            </w:r>
          </w:p>
        </w:tc>
        <w:tc>
          <w:tcPr>
            <w:tcW w:w="683" w:type="pct"/>
            <w:shd w:val="clear" w:color="auto" w:fill="auto"/>
            <w:vAlign w:val="center"/>
          </w:tcPr>
          <w:p w14:paraId="7D0EA876" w14:textId="77777777" w:rsidR="0076233B" w:rsidRPr="00EF0794" w:rsidRDefault="0076233B" w:rsidP="00EE34F2">
            <w:pPr>
              <w:widowControl/>
              <w:jc w:val="right"/>
              <w:rPr>
                <w:color w:val="000000" w:themeColor="text1"/>
              </w:rPr>
            </w:pPr>
            <w:r w:rsidRPr="00EF0794">
              <w:t xml:space="preserve"> 814 </w:t>
            </w:r>
          </w:p>
        </w:tc>
        <w:tc>
          <w:tcPr>
            <w:tcW w:w="902" w:type="pct"/>
            <w:shd w:val="clear" w:color="auto" w:fill="auto"/>
            <w:vAlign w:val="center"/>
          </w:tcPr>
          <w:p w14:paraId="3661B785" w14:textId="77777777" w:rsidR="0076233B" w:rsidRPr="00EF0794" w:rsidRDefault="0076233B" w:rsidP="00EE34F2">
            <w:pPr>
              <w:widowControl/>
              <w:jc w:val="center"/>
              <w:rPr>
                <w:color w:val="000000" w:themeColor="text1"/>
              </w:rPr>
            </w:pPr>
            <w:r w:rsidRPr="00EF0794">
              <w:rPr>
                <w:color w:val="000000" w:themeColor="text1"/>
              </w:rPr>
              <w:t>20%</w:t>
            </w:r>
          </w:p>
        </w:tc>
      </w:tr>
      <w:tr w:rsidR="0076233B" w:rsidRPr="00EF0794" w14:paraId="4B0DC6EF" w14:textId="77777777" w:rsidTr="00666707">
        <w:trPr>
          <w:cantSplit/>
          <w:trHeight w:val="397"/>
          <w:jc w:val="center"/>
        </w:trPr>
        <w:tc>
          <w:tcPr>
            <w:tcW w:w="1058" w:type="pct"/>
            <w:shd w:val="clear" w:color="auto" w:fill="auto"/>
            <w:vAlign w:val="center"/>
          </w:tcPr>
          <w:p w14:paraId="32CCEF39" w14:textId="77777777" w:rsidR="0076233B" w:rsidRPr="00EF0794" w:rsidRDefault="0076233B" w:rsidP="00EE34F2">
            <w:pPr>
              <w:widowControl/>
              <w:jc w:val="center"/>
              <w:rPr>
                <w:color w:val="000000" w:themeColor="text1"/>
              </w:rPr>
            </w:pPr>
            <w:r w:rsidRPr="00EF0794">
              <w:rPr>
                <w:color w:val="000000" w:themeColor="text1"/>
              </w:rPr>
              <w:t>杜松岩</w:t>
            </w:r>
          </w:p>
        </w:tc>
        <w:tc>
          <w:tcPr>
            <w:tcW w:w="918" w:type="pct"/>
            <w:shd w:val="clear" w:color="auto" w:fill="auto"/>
            <w:vAlign w:val="center"/>
          </w:tcPr>
          <w:p w14:paraId="7B022A0E" w14:textId="77777777" w:rsidR="0076233B" w:rsidRPr="00EF0794" w:rsidRDefault="0076233B" w:rsidP="00EE34F2">
            <w:pPr>
              <w:widowControl/>
              <w:jc w:val="center"/>
              <w:rPr>
                <w:color w:val="000000" w:themeColor="text1"/>
              </w:rPr>
            </w:pPr>
            <w:r w:rsidRPr="00EF0794">
              <w:rPr>
                <w:color w:val="000000" w:themeColor="text1"/>
              </w:rPr>
              <w:t>中层管理人员</w:t>
            </w:r>
          </w:p>
        </w:tc>
        <w:tc>
          <w:tcPr>
            <w:tcW w:w="670" w:type="pct"/>
            <w:shd w:val="clear" w:color="auto" w:fill="auto"/>
            <w:vAlign w:val="center"/>
          </w:tcPr>
          <w:p w14:paraId="1D145ED0" w14:textId="77777777" w:rsidR="0076233B" w:rsidRPr="00EF0794" w:rsidRDefault="0076233B" w:rsidP="00EE34F2">
            <w:pPr>
              <w:widowControl/>
              <w:jc w:val="center"/>
              <w:rPr>
                <w:color w:val="000000" w:themeColor="text1"/>
              </w:rPr>
            </w:pPr>
            <w:r w:rsidRPr="00EF0794">
              <w:rPr>
                <w:color w:val="000000" w:themeColor="text1"/>
              </w:rPr>
              <w:t>德国</w:t>
            </w:r>
          </w:p>
        </w:tc>
        <w:tc>
          <w:tcPr>
            <w:tcW w:w="768" w:type="pct"/>
            <w:shd w:val="clear" w:color="auto" w:fill="auto"/>
            <w:vAlign w:val="center"/>
          </w:tcPr>
          <w:p w14:paraId="318611A1" w14:textId="77777777" w:rsidR="0076233B" w:rsidRPr="00EF0794" w:rsidRDefault="0076233B" w:rsidP="00EE34F2">
            <w:pPr>
              <w:widowControl/>
              <w:jc w:val="right"/>
              <w:rPr>
                <w:color w:val="000000" w:themeColor="text1"/>
              </w:rPr>
            </w:pPr>
            <w:r w:rsidRPr="00EF0794">
              <w:rPr>
                <w:color w:val="000000" w:themeColor="text1"/>
              </w:rPr>
              <w:t xml:space="preserve"> 2,710 </w:t>
            </w:r>
          </w:p>
        </w:tc>
        <w:tc>
          <w:tcPr>
            <w:tcW w:w="683" w:type="pct"/>
            <w:shd w:val="clear" w:color="auto" w:fill="auto"/>
            <w:vAlign w:val="center"/>
          </w:tcPr>
          <w:p w14:paraId="7F5F0C93" w14:textId="77777777" w:rsidR="0076233B" w:rsidRPr="00EF0794" w:rsidRDefault="0076233B" w:rsidP="00EE34F2">
            <w:pPr>
              <w:widowControl/>
              <w:jc w:val="right"/>
              <w:rPr>
                <w:color w:val="000000" w:themeColor="text1"/>
              </w:rPr>
            </w:pPr>
            <w:r w:rsidRPr="00EF0794">
              <w:t xml:space="preserve"> 542 </w:t>
            </w:r>
          </w:p>
        </w:tc>
        <w:tc>
          <w:tcPr>
            <w:tcW w:w="902" w:type="pct"/>
            <w:shd w:val="clear" w:color="auto" w:fill="auto"/>
            <w:vAlign w:val="center"/>
          </w:tcPr>
          <w:p w14:paraId="7C72615A" w14:textId="77777777" w:rsidR="0076233B" w:rsidRPr="00EF0794" w:rsidRDefault="0076233B" w:rsidP="00EE34F2">
            <w:pPr>
              <w:widowControl/>
              <w:jc w:val="center"/>
              <w:rPr>
                <w:color w:val="000000" w:themeColor="text1"/>
              </w:rPr>
            </w:pPr>
            <w:r w:rsidRPr="00EF0794">
              <w:rPr>
                <w:color w:val="000000" w:themeColor="text1"/>
              </w:rPr>
              <w:t>20%</w:t>
            </w:r>
          </w:p>
        </w:tc>
      </w:tr>
      <w:tr w:rsidR="0076233B" w:rsidRPr="00EF0794" w14:paraId="072AB00D" w14:textId="77777777" w:rsidTr="00666707">
        <w:trPr>
          <w:cantSplit/>
          <w:trHeight w:val="397"/>
          <w:jc w:val="center"/>
        </w:trPr>
        <w:tc>
          <w:tcPr>
            <w:tcW w:w="1058" w:type="pct"/>
            <w:shd w:val="clear" w:color="auto" w:fill="auto"/>
            <w:vAlign w:val="center"/>
          </w:tcPr>
          <w:p w14:paraId="6A95A7CC" w14:textId="77777777" w:rsidR="0076233B" w:rsidRPr="00EF0794" w:rsidRDefault="0076233B" w:rsidP="00EE34F2">
            <w:pPr>
              <w:widowControl/>
              <w:jc w:val="center"/>
              <w:rPr>
                <w:color w:val="000000" w:themeColor="text1"/>
              </w:rPr>
            </w:pPr>
            <w:proofErr w:type="gramStart"/>
            <w:r w:rsidRPr="00EF0794">
              <w:rPr>
                <w:color w:val="000000" w:themeColor="text1"/>
              </w:rPr>
              <w:t>方树康</w:t>
            </w:r>
            <w:proofErr w:type="gramEnd"/>
          </w:p>
        </w:tc>
        <w:tc>
          <w:tcPr>
            <w:tcW w:w="918" w:type="pct"/>
            <w:shd w:val="clear" w:color="auto" w:fill="auto"/>
            <w:vAlign w:val="center"/>
          </w:tcPr>
          <w:p w14:paraId="0A53294F" w14:textId="77777777" w:rsidR="0076233B" w:rsidRPr="00EF0794" w:rsidRDefault="0076233B" w:rsidP="00EE34F2">
            <w:pPr>
              <w:widowControl/>
              <w:jc w:val="center"/>
              <w:rPr>
                <w:color w:val="000000" w:themeColor="text1"/>
              </w:rPr>
            </w:pPr>
            <w:r w:rsidRPr="00EF0794">
              <w:rPr>
                <w:color w:val="000000" w:themeColor="text1"/>
              </w:rPr>
              <w:t>中层管理人员</w:t>
            </w:r>
          </w:p>
        </w:tc>
        <w:tc>
          <w:tcPr>
            <w:tcW w:w="670" w:type="pct"/>
            <w:shd w:val="clear" w:color="auto" w:fill="auto"/>
            <w:vAlign w:val="center"/>
          </w:tcPr>
          <w:p w14:paraId="33647A44" w14:textId="77777777" w:rsidR="0076233B" w:rsidRPr="00EF0794" w:rsidRDefault="0076233B" w:rsidP="00EE34F2">
            <w:pPr>
              <w:widowControl/>
              <w:jc w:val="center"/>
              <w:rPr>
                <w:color w:val="000000" w:themeColor="text1"/>
              </w:rPr>
            </w:pPr>
            <w:r w:rsidRPr="00EF0794">
              <w:rPr>
                <w:color w:val="000000" w:themeColor="text1"/>
              </w:rPr>
              <w:t>中国香港</w:t>
            </w:r>
          </w:p>
        </w:tc>
        <w:tc>
          <w:tcPr>
            <w:tcW w:w="768" w:type="pct"/>
            <w:shd w:val="clear" w:color="auto" w:fill="auto"/>
            <w:vAlign w:val="center"/>
          </w:tcPr>
          <w:p w14:paraId="30B34FE1" w14:textId="77777777" w:rsidR="0076233B" w:rsidRPr="00EF0794" w:rsidRDefault="0076233B" w:rsidP="00EE34F2">
            <w:pPr>
              <w:widowControl/>
              <w:jc w:val="right"/>
              <w:rPr>
                <w:color w:val="000000" w:themeColor="text1"/>
              </w:rPr>
            </w:pPr>
            <w:r w:rsidRPr="00EF0794">
              <w:rPr>
                <w:color w:val="000000" w:themeColor="text1"/>
              </w:rPr>
              <w:t xml:space="preserve"> 17,390 </w:t>
            </w:r>
          </w:p>
        </w:tc>
        <w:tc>
          <w:tcPr>
            <w:tcW w:w="683" w:type="pct"/>
            <w:shd w:val="clear" w:color="auto" w:fill="auto"/>
            <w:vAlign w:val="center"/>
          </w:tcPr>
          <w:p w14:paraId="6A0C4806" w14:textId="77777777" w:rsidR="0076233B" w:rsidRPr="00EF0794" w:rsidRDefault="0076233B" w:rsidP="00EE34F2">
            <w:pPr>
              <w:widowControl/>
              <w:jc w:val="right"/>
              <w:rPr>
                <w:color w:val="000000" w:themeColor="text1"/>
              </w:rPr>
            </w:pPr>
            <w:r w:rsidRPr="00EF0794">
              <w:t xml:space="preserve"> 3,478 </w:t>
            </w:r>
          </w:p>
        </w:tc>
        <w:tc>
          <w:tcPr>
            <w:tcW w:w="902" w:type="pct"/>
            <w:shd w:val="clear" w:color="auto" w:fill="auto"/>
            <w:vAlign w:val="center"/>
          </w:tcPr>
          <w:p w14:paraId="7433ED7C" w14:textId="77777777" w:rsidR="0076233B" w:rsidRPr="00EF0794" w:rsidRDefault="0076233B" w:rsidP="00EE34F2">
            <w:pPr>
              <w:widowControl/>
              <w:jc w:val="center"/>
              <w:rPr>
                <w:color w:val="000000" w:themeColor="text1"/>
              </w:rPr>
            </w:pPr>
            <w:r w:rsidRPr="00EF0794">
              <w:rPr>
                <w:color w:val="000000" w:themeColor="text1"/>
              </w:rPr>
              <w:t>20%</w:t>
            </w:r>
          </w:p>
        </w:tc>
      </w:tr>
      <w:tr w:rsidR="0076233B" w:rsidRPr="00EF0794" w14:paraId="00C32EF8" w14:textId="77777777" w:rsidTr="00666707">
        <w:trPr>
          <w:cantSplit/>
          <w:trHeight w:val="397"/>
          <w:jc w:val="center"/>
        </w:trPr>
        <w:tc>
          <w:tcPr>
            <w:tcW w:w="1058" w:type="pct"/>
            <w:shd w:val="clear" w:color="auto" w:fill="auto"/>
            <w:vAlign w:val="center"/>
          </w:tcPr>
          <w:p w14:paraId="0BB09BE5" w14:textId="77777777" w:rsidR="0076233B" w:rsidRPr="00EF0794" w:rsidRDefault="0076233B" w:rsidP="00EE34F2">
            <w:pPr>
              <w:widowControl/>
              <w:jc w:val="center"/>
              <w:rPr>
                <w:color w:val="000000" w:themeColor="text1"/>
              </w:rPr>
            </w:pPr>
            <w:proofErr w:type="gramStart"/>
            <w:r w:rsidRPr="00EF0794">
              <w:rPr>
                <w:color w:val="000000" w:themeColor="text1"/>
              </w:rPr>
              <w:t>周耀强</w:t>
            </w:r>
            <w:proofErr w:type="gramEnd"/>
          </w:p>
        </w:tc>
        <w:tc>
          <w:tcPr>
            <w:tcW w:w="918" w:type="pct"/>
            <w:shd w:val="clear" w:color="auto" w:fill="auto"/>
            <w:vAlign w:val="center"/>
          </w:tcPr>
          <w:p w14:paraId="11596A60" w14:textId="77777777" w:rsidR="0076233B" w:rsidRPr="00EF0794" w:rsidRDefault="0076233B" w:rsidP="00EE34F2">
            <w:pPr>
              <w:widowControl/>
              <w:jc w:val="center"/>
              <w:rPr>
                <w:color w:val="000000" w:themeColor="text1"/>
              </w:rPr>
            </w:pPr>
            <w:r w:rsidRPr="00EF0794">
              <w:rPr>
                <w:color w:val="000000" w:themeColor="text1"/>
              </w:rPr>
              <w:t>中层管理人员</w:t>
            </w:r>
          </w:p>
        </w:tc>
        <w:tc>
          <w:tcPr>
            <w:tcW w:w="670" w:type="pct"/>
            <w:shd w:val="clear" w:color="auto" w:fill="auto"/>
            <w:vAlign w:val="center"/>
          </w:tcPr>
          <w:p w14:paraId="2E52919C" w14:textId="77777777" w:rsidR="0076233B" w:rsidRPr="00EF0794" w:rsidRDefault="0076233B" w:rsidP="00EE34F2">
            <w:pPr>
              <w:widowControl/>
              <w:jc w:val="center"/>
              <w:rPr>
                <w:color w:val="000000" w:themeColor="text1"/>
              </w:rPr>
            </w:pPr>
            <w:r w:rsidRPr="00EF0794">
              <w:rPr>
                <w:color w:val="000000" w:themeColor="text1"/>
              </w:rPr>
              <w:t>中国香港</w:t>
            </w:r>
          </w:p>
        </w:tc>
        <w:tc>
          <w:tcPr>
            <w:tcW w:w="768" w:type="pct"/>
            <w:shd w:val="clear" w:color="auto" w:fill="auto"/>
            <w:vAlign w:val="center"/>
          </w:tcPr>
          <w:p w14:paraId="30A8D202" w14:textId="77777777" w:rsidR="0076233B" w:rsidRPr="00EF0794" w:rsidRDefault="0076233B" w:rsidP="00EE34F2">
            <w:pPr>
              <w:widowControl/>
              <w:jc w:val="right"/>
              <w:rPr>
                <w:color w:val="000000" w:themeColor="text1"/>
              </w:rPr>
            </w:pPr>
            <w:r w:rsidRPr="00EF0794">
              <w:rPr>
                <w:color w:val="000000" w:themeColor="text1"/>
              </w:rPr>
              <w:t xml:space="preserve"> 19,200 </w:t>
            </w:r>
          </w:p>
        </w:tc>
        <w:tc>
          <w:tcPr>
            <w:tcW w:w="683" w:type="pct"/>
            <w:shd w:val="clear" w:color="auto" w:fill="auto"/>
            <w:vAlign w:val="center"/>
          </w:tcPr>
          <w:p w14:paraId="578D6361" w14:textId="77777777" w:rsidR="0076233B" w:rsidRPr="00EF0794" w:rsidRDefault="0076233B" w:rsidP="00EE34F2">
            <w:pPr>
              <w:widowControl/>
              <w:jc w:val="right"/>
              <w:rPr>
                <w:color w:val="000000" w:themeColor="text1"/>
              </w:rPr>
            </w:pPr>
            <w:r w:rsidRPr="00EF0794">
              <w:t xml:space="preserve"> 3,840 </w:t>
            </w:r>
          </w:p>
        </w:tc>
        <w:tc>
          <w:tcPr>
            <w:tcW w:w="902" w:type="pct"/>
            <w:shd w:val="clear" w:color="auto" w:fill="auto"/>
            <w:vAlign w:val="center"/>
          </w:tcPr>
          <w:p w14:paraId="662A531B" w14:textId="77777777" w:rsidR="0076233B" w:rsidRPr="00EF0794" w:rsidRDefault="0076233B" w:rsidP="00EE34F2">
            <w:pPr>
              <w:widowControl/>
              <w:jc w:val="center"/>
              <w:rPr>
                <w:color w:val="000000" w:themeColor="text1"/>
              </w:rPr>
            </w:pPr>
            <w:r w:rsidRPr="00EF0794">
              <w:rPr>
                <w:color w:val="000000" w:themeColor="text1"/>
              </w:rPr>
              <w:t>20%</w:t>
            </w:r>
          </w:p>
        </w:tc>
      </w:tr>
      <w:tr w:rsidR="0076233B" w:rsidRPr="00EF0794" w14:paraId="7D158F1A" w14:textId="77777777" w:rsidTr="00666707">
        <w:trPr>
          <w:cantSplit/>
          <w:trHeight w:val="397"/>
          <w:jc w:val="center"/>
        </w:trPr>
        <w:tc>
          <w:tcPr>
            <w:tcW w:w="2646" w:type="pct"/>
            <w:gridSpan w:val="3"/>
            <w:shd w:val="clear" w:color="auto" w:fill="auto"/>
            <w:vAlign w:val="center"/>
          </w:tcPr>
          <w:p w14:paraId="5AED92BE" w14:textId="77777777" w:rsidR="0076233B" w:rsidRPr="00EF0794" w:rsidRDefault="0076233B" w:rsidP="00EE34F2">
            <w:pPr>
              <w:widowControl/>
              <w:jc w:val="center"/>
              <w:rPr>
                <w:color w:val="000000" w:themeColor="text1"/>
              </w:rPr>
            </w:pPr>
            <w:r w:rsidRPr="00EF0794">
              <w:rPr>
                <w:color w:val="000000" w:themeColor="text1"/>
              </w:rPr>
              <w:t>中层管理人员（共</w:t>
            </w:r>
            <w:r w:rsidRPr="00EF0794">
              <w:rPr>
                <w:color w:val="000000" w:themeColor="text1"/>
              </w:rPr>
              <w:t>262</w:t>
            </w:r>
            <w:r w:rsidRPr="00EF0794">
              <w:rPr>
                <w:color w:val="000000" w:themeColor="text1"/>
              </w:rPr>
              <w:t>人）</w:t>
            </w:r>
          </w:p>
        </w:tc>
        <w:tc>
          <w:tcPr>
            <w:tcW w:w="768" w:type="pct"/>
            <w:shd w:val="clear" w:color="auto" w:fill="auto"/>
            <w:vAlign w:val="center"/>
          </w:tcPr>
          <w:p w14:paraId="67237B22" w14:textId="77777777" w:rsidR="0076233B" w:rsidRPr="00EF0794" w:rsidRDefault="0076233B" w:rsidP="00EE34F2">
            <w:pPr>
              <w:widowControl/>
              <w:jc w:val="right"/>
              <w:rPr>
                <w:color w:val="000000" w:themeColor="text1"/>
              </w:rPr>
            </w:pPr>
            <w:r w:rsidRPr="00EF0794">
              <w:rPr>
                <w:color w:val="000000" w:themeColor="text1"/>
              </w:rPr>
              <w:t>1,764,550</w:t>
            </w:r>
          </w:p>
        </w:tc>
        <w:tc>
          <w:tcPr>
            <w:tcW w:w="683" w:type="pct"/>
            <w:shd w:val="clear" w:color="auto" w:fill="auto"/>
            <w:vAlign w:val="center"/>
          </w:tcPr>
          <w:p w14:paraId="5737B32C" w14:textId="77777777" w:rsidR="0076233B" w:rsidRPr="00EF0794" w:rsidRDefault="0076233B" w:rsidP="00EE34F2">
            <w:pPr>
              <w:widowControl/>
              <w:jc w:val="right"/>
              <w:rPr>
                <w:color w:val="000000" w:themeColor="text1"/>
              </w:rPr>
            </w:pPr>
            <w:r w:rsidRPr="00EF0794">
              <w:rPr>
                <w:color w:val="000000" w:themeColor="text1"/>
              </w:rPr>
              <w:t xml:space="preserve">352,910 </w:t>
            </w:r>
          </w:p>
        </w:tc>
        <w:tc>
          <w:tcPr>
            <w:tcW w:w="902" w:type="pct"/>
            <w:shd w:val="clear" w:color="auto" w:fill="auto"/>
            <w:vAlign w:val="center"/>
          </w:tcPr>
          <w:p w14:paraId="0EE18770" w14:textId="77777777" w:rsidR="0076233B" w:rsidRPr="00EF0794" w:rsidRDefault="0076233B" w:rsidP="00EE34F2">
            <w:pPr>
              <w:widowControl/>
              <w:jc w:val="center"/>
              <w:rPr>
                <w:color w:val="000000" w:themeColor="text1"/>
              </w:rPr>
            </w:pPr>
            <w:r w:rsidRPr="00EF0794">
              <w:rPr>
                <w:color w:val="000000" w:themeColor="text1"/>
              </w:rPr>
              <w:t>20%</w:t>
            </w:r>
          </w:p>
        </w:tc>
      </w:tr>
      <w:tr w:rsidR="0076233B" w:rsidRPr="00666707" w14:paraId="7C70A2F8" w14:textId="77777777" w:rsidTr="00666707">
        <w:trPr>
          <w:cantSplit/>
          <w:trHeight w:val="397"/>
          <w:jc w:val="center"/>
        </w:trPr>
        <w:tc>
          <w:tcPr>
            <w:tcW w:w="2646" w:type="pct"/>
            <w:gridSpan w:val="3"/>
            <w:shd w:val="clear" w:color="auto" w:fill="auto"/>
            <w:vAlign w:val="center"/>
          </w:tcPr>
          <w:p w14:paraId="3F1FDA39" w14:textId="77777777" w:rsidR="0076233B" w:rsidRPr="00666707" w:rsidRDefault="0076233B" w:rsidP="00EE34F2">
            <w:pPr>
              <w:widowControl/>
              <w:jc w:val="center"/>
              <w:rPr>
                <w:b/>
                <w:color w:val="000000" w:themeColor="text1"/>
              </w:rPr>
            </w:pPr>
            <w:r w:rsidRPr="00666707">
              <w:rPr>
                <w:b/>
                <w:color w:val="000000" w:themeColor="text1"/>
              </w:rPr>
              <w:lastRenderedPageBreak/>
              <w:t>合计（</w:t>
            </w:r>
            <w:r w:rsidRPr="00666707">
              <w:rPr>
                <w:b/>
                <w:color w:val="000000" w:themeColor="text1"/>
              </w:rPr>
              <w:t>269</w:t>
            </w:r>
            <w:r w:rsidRPr="00666707">
              <w:rPr>
                <w:b/>
                <w:color w:val="000000" w:themeColor="text1"/>
              </w:rPr>
              <w:t>人）</w:t>
            </w:r>
          </w:p>
        </w:tc>
        <w:tc>
          <w:tcPr>
            <w:tcW w:w="768" w:type="pct"/>
            <w:shd w:val="clear" w:color="auto" w:fill="auto"/>
            <w:vAlign w:val="center"/>
          </w:tcPr>
          <w:p w14:paraId="44038743" w14:textId="77777777" w:rsidR="0076233B" w:rsidRPr="00666707" w:rsidRDefault="0076233B" w:rsidP="00EE34F2">
            <w:pPr>
              <w:widowControl/>
              <w:jc w:val="right"/>
              <w:rPr>
                <w:b/>
                <w:color w:val="000000" w:themeColor="text1"/>
              </w:rPr>
            </w:pPr>
            <w:r w:rsidRPr="00666707">
              <w:rPr>
                <w:b/>
                <w:color w:val="000000" w:themeColor="text1"/>
              </w:rPr>
              <w:t>1,835,500</w:t>
            </w:r>
          </w:p>
        </w:tc>
        <w:tc>
          <w:tcPr>
            <w:tcW w:w="683" w:type="pct"/>
            <w:shd w:val="clear" w:color="auto" w:fill="auto"/>
            <w:vAlign w:val="center"/>
          </w:tcPr>
          <w:p w14:paraId="5668E4EA" w14:textId="77777777" w:rsidR="0076233B" w:rsidRPr="00666707" w:rsidRDefault="0076233B" w:rsidP="00EE34F2">
            <w:pPr>
              <w:widowControl/>
              <w:jc w:val="right"/>
              <w:rPr>
                <w:b/>
                <w:color w:val="000000" w:themeColor="text1"/>
              </w:rPr>
            </w:pPr>
            <w:r w:rsidRPr="00666707">
              <w:rPr>
                <w:b/>
                <w:color w:val="000000" w:themeColor="text1"/>
              </w:rPr>
              <w:t xml:space="preserve">367,100 </w:t>
            </w:r>
          </w:p>
        </w:tc>
        <w:tc>
          <w:tcPr>
            <w:tcW w:w="902" w:type="pct"/>
            <w:shd w:val="clear" w:color="auto" w:fill="auto"/>
            <w:vAlign w:val="center"/>
          </w:tcPr>
          <w:p w14:paraId="1122BB1B" w14:textId="77777777" w:rsidR="0076233B" w:rsidRPr="00666707" w:rsidRDefault="0076233B" w:rsidP="00EE34F2">
            <w:pPr>
              <w:widowControl/>
              <w:jc w:val="center"/>
              <w:rPr>
                <w:b/>
                <w:color w:val="000000" w:themeColor="text1"/>
              </w:rPr>
            </w:pPr>
            <w:r w:rsidRPr="00666707">
              <w:rPr>
                <w:b/>
                <w:color w:val="000000" w:themeColor="text1"/>
              </w:rPr>
              <w:t>20%</w:t>
            </w:r>
          </w:p>
        </w:tc>
      </w:tr>
    </w:tbl>
    <w:p w14:paraId="0828EBB9" w14:textId="295C39BD" w:rsidR="0076233B" w:rsidRPr="00EF0794" w:rsidRDefault="00E1236D" w:rsidP="00D9403D">
      <w:pPr>
        <w:ind w:firstLineChars="200" w:firstLine="420"/>
        <w:rPr>
          <w:szCs w:val="21"/>
        </w:rPr>
      </w:pPr>
      <w:bookmarkStart w:id="12" w:name="_Hlk117103723"/>
      <w:r w:rsidRPr="00EF0794">
        <w:rPr>
          <w:szCs w:val="21"/>
        </w:rPr>
        <w:t>注：</w:t>
      </w:r>
      <w:r w:rsidR="0076233B" w:rsidRPr="00EF0794">
        <w:rPr>
          <w:szCs w:val="21"/>
        </w:rPr>
        <w:t>上表中</w:t>
      </w:r>
      <w:r w:rsidR="00D9403D" w:rsidRPr="00EF0794">
        <w:rPr>
          <w:szCs w:val="21"/>
        </w:rPr>
        <w:t>“</w:t>
      </w:r>
      <w:r w:rsidR="00D9403D" w:rsidRPr="00EF0794">
        <w:rPr>
          <w:szCs w:val="21"/>
        </w:rPr>
        <w:t>本次行权前持有的股票期权数量</w:t>
      </w:r>
      <w:r w:rsidR="00D9403D" w:rsidRPr="00EF0794">
        <w:rPr>
          <w:szCs w:val="21"/>
        </w:rPr>
        <w:t>”</w:t>
      </w:r>
      <w:r w:rsidR="0076233B" w:rsidRPr="00EF0794">
        <w:rPr>
          <w:szCs w:val="21"/>
        </w:rPr>
        <w:t>不包括</w:t>
      </w:r>
      <w:r w:rsidR="00D9403D" w:rsidRPr="00EF0794">
        <w:rPr>
          <w:szCs w:val="21"/>
        </w:rPr>
        <w:t>如下：</w:t>
      </w:r>
      <w:r w:rsidR="0076233B" w:rsidRPr="00EF0794">
        <w:rPr>
          <w:szCs w:val="21"/>
        </w:rPr>
        <w:t>6</w:t>
      </w:r>
      <w:r w:rsidR="0076233B" w:rsidRPr="00EF0794">
        <w:rPr>
          <w:szCs w:val="21"/>
        </w:rPr>
        <w:t>名因离职而不再具备激励对象资格的原激励对象，</w:t>
      </w:r>
      <w:r w:rsidR="00D9403D" w:rsidRPr="00EF0794">
        <w:rPr>
          <w:szCs w:val="21"/>
        </w:rPr>
        <w:t>对应持有的</w:t>
      </w:r>
      <w:r w:rsidR="0076233B" w:rsidRPr="00EF0794">
        <w:rPr>
          <w:szCs w:val="21"/>
        </w:rPr>
        <w:t>已获</w:t>
      </w:r>
      <w:proofErr w:type="gramStart"/>
      <w:r w:rsidR="0076233B" w:rsidRPr="00EF0794">
        <w:rPr>
          <w:szCs w:val="21"/>
        </w:rPr>
        <w:t>授尚未</w:t>
      </w:r>
      <w:proofErr w:type="gramEnd"/>
      <w:r w:rsidR="0076233B" w:rsidRPr="00EF0794">
        <w:rPr>
          <w:szCs w:val="21"/>
        </w:rPr>
        <w:t>行权的</w:t>
      </w:r>
      <w:r w:rsidR="00D9403D" w:rsidRPr="00EF0794">
        <w:rPr>
          <w:szCs w:val="21"/>
        </w:rPr>
        <w:t>股票期权数量</w:t>
      </w:r>
      <w:r w:rsidR="0076233B" w:rsidRPr="00EF0794">
        <w:rPr>
          <w:szCs w:val="21"/>
        </w:rPr>
        <w:t>36,970</w:t>
      </w:r>
      <w:r w:rsidR="0076233B" w:rsidRPr="00EF0794">
        <w:rPr>
          <w:szCs w:val="21"/>
        </w:rPr>
        <w:t>份；</w:t>
      </w:r>
      <w:r w:rsidR="0076233B" w:rsidRPr="00EF0794">
        <w:rPr>
          <w:szCs w:val="21"/>
        </w:rPr>
        <w:t>2</w:t>
      </w:r>
      <w:r w:rsidR="0076233B" w:rsidRPr="00EF0794">
        <w:rPr>
          <w:szCs w:val="21"/>
        </w:rPr>
        <w:t>名个人绩效考核结果为</w:t>
      </w:r>
      <w:r w:rsidR="0076233B" w:rsidRPr="00EF0794">
        <w:rPr>
          <w:szCs w:val="21"/>
        </w:rPr>
        <w:t>C</w:t>
      </w:r>
      <w:r w:rsidR="0076233B" w:rsidRPr="00EF0794">
        <w:rPr>
          <w:szCs w:val="21"/>
        </w:rPr>
        <w:t>的激励对象，</w:t>
      </w:r>
      <w:r w:rsidR="00023E72" w:rsidRPr="00EF0794">
        <w:rPr>
          <w:szCs w:val="21"/>
        </w:rPr>
        <w:t>对应持有的已获</w:t>
      </w:r>
      <w:proofErr w:type="gramStart"/>
      <w:r w:rsidR="00023E72" w:rsidRPr="00EF0794">
        <w:rPr>
          <w:szCs w:val="21"/>
        </w:rPr>
        <w:t>授尚未</w:t>
      </w:r>
      <w:proofErr w:type="gramEnd"/>
      <w:r w:rsidR="00023E72" w:rsidRPr="00EF0794">
        <w:rPr>
          <w:szCs w:val="21"/>
        </w:rPr>
        <w:t>行权的股票期权数量</w:t>
      </w:r>
      <w:r w:rsidR="0076233B" w:rsidRPr="00EF0794">
        <w:rPr>
          <w:szCs w:val="21"/>
        </w:rPr>
        <w:t>6,320</w:t>
      </w:r>
      <w:r w:rsidR="0076233B" w:rsidRPr="00EF0794">
        <w:rPr>
          <w:szCs w:val="21"/>
        </w:rPr>
        <w:t>份</w:t>
      </w:r>
      <w:r w:rsidR="00D9403D" w:rsidRPr="00EF0794">
        <w:rPr>
          <w:szCs w:val="21"/>
        </w:rPr>
        <w:t>。</w:t>
      </w:r>
    </w:p>
    <w:bookmarkEnd w:id="12"/>
    <w:p w14:paraId="6CB43C47" w14:textId="77777777" w:rsidR="0076233B" w:rsidRPr="00EF0794" w:rsidRDefault="0076233B" w:rsidP="0076233B">
      <w:pPr>
        <w:spacing w:beforeLines="50" w:before="156" w:line="360" w:lineRule="auto"/>
        <w:ind w:firstLineChars="200" w:firstLine="480"/>
        <w:rPr>
          <w:sz w:val="24"/>
        </w:rPr>
      </w:pPr>
      <w:r w:rsidRPr="00EF0794">
        <w:rPr>
          <w:sz w:val="24"/>
        </w:rPr>
        <w:t>2</w:t>
      </w:r>
      <w:r w:rsidRPr="00EF0794">
        <w:rPr>
          <w:sz w:val="24"/>
        </w:rPr>
        <w:t>、预留授予部分第一个行权期激励对象名单及归属情况：</w:t>
      </w:r>
    </w:p>
    <w:tbl>
      <w:tblPr>
        <w:tblW w:w="5000" w:type="pct"/>
        <w:jc w:val="center"/>
        <w:tblLook w:val="04A0" w:firstRow="1" w:lastRow="0" w:firstColumn="1" w:lastColumn="0" w:noHBand="0" w:noVBand="1"/>
      </w:tblPr>
      <w:tblGrid>
        <w:gridCol w:w="2547"/>
        <w:gridCol w:w="1843"/>
        <w:gridCol w:w="1701"/>
        <w:gridCol w:w="2205"/>
      </w:tblGrid>
      <w:tr w:rsidR="0076233B" w:rsidRPr="00EF0794" w14:paraId="51EC7D38" w14:textId="77777777" w:rsidTr="00462A6A">
        <w:trPr>
          <w:cantSplit/>
          <w:trHeight w:val="397"/>
          <w:jc w:val="center"/>
        </w:trPr>
        <w:tc>
          <w:tcPr>
            <w:tcW w:w="15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795877" w14:textId="77777777" w:rsidR="0076233B" w:rsidRPr="00EF0794" w:rsidRDefault="0076233B" w:rsidP="00EE34F2">
            <w:pPr>
              <w:widowControl/>
              <w:jc w:val="center"/>
              <w:rPr>
                <w:b/>
                <w:bCs/>
                <w:color w:val="000000"/>
                <w:kern w:val="0"/>
                <w:szCs w:val="21"/>
              </w:rPr>
            </w:pPr>
            <w:r w:rsidRPr="00EF0794">
              <w:rPr>
                <w:b/>
                <w:bCs/>
                <w:color w:val="000000"/>
                <w:kern w:val="0"/>
                <w:szCs w:val="21"/>
              </w:rPr>
              <w:t>激励对象</w:t>
            </w:r>
          </w:p>
        </w:tc>
        <w:tc>
          <w:tcPr>
            <w:tcW w:w="111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F43C3FE" w14:textId="77777777" w:rsidR="0076233B" w:rsidRPr="00EF0794" w:rsidRDefault="0076233B" w:rsidP="00EE34F2">
            <w:pPr>
              <w:widowControl/>
              <w:jc w:val="center"/>
              <w:rPr>
                <w:b/>
                <w:bCs/>
                <w:color w:val="000000"/>
                <w:kern w:val="0"/>
                <w:szCs w:val="21"/>
              </w:rPr>
            </w:pPr>
            <w:r w:rsidRPr="00EF0794">
              <w:rPr>
                <w:b/>
                <w:bCs/>
                <w:color w:val="000000"/>
                <w:kern w:val="0"/>
                <w:szCs w:val="21"/>
              </w:rPr>
              <w:t>本次行权前持有的股票期权数量</w:t>
            </w:r>
            <w:r w:rsidRPr="00EF0794">
              <w:rPr>
                <w:b/>
                <w:bCs/>
                <w:color w:val="000000"/>
                <w:kern w:val="0"/>
                <w:szCs w:val="21"/>
              </w:rPr>
              <w:t>(</w:t>
            </w:r>
            <w:r w:rsidRPr="00EF0794">
              <w:rPr>
                <w:b/>
                <w:bCs/>
                <w:color w:val="000000"/>
                <w:kern w:val="0"/>
                <w:szCs w:val="21"/>
              </w:rPr>
              <w:t>份</w:t>
            </w:r>
            <w:r w:rsidRPr="00EF0794">
              <w:rPr>
                <w:b/>
                <w:bCs/>
                <w:color w:val="000000"/>
                <w:kern w:val="0"/>
                <w:szCs w:val="21"/>
              </w:rPr>
              <w:t>)</w:t>
            </w:r>
          </w:p>
        </w:tc>
        <w:tc>
          <w:tcPr>
            <w:tcW w:w="102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5C2BD4C" w14:textId="77777777" w:rsidR="0076233B" w:rsidRPr="00EF0794" w:rsidRDefault="0076233B" w:rsidP="00EE34F2">
            <w:pPr>
              <w:widowControl/>
              <w:jc w:val="center"/>
              <w:rPr>
                <w:b/>
                <w:bCs/>
                <w:color w:val="000000"/>
                <w:kern w:val="0"/>
                <w:szCs w:val="21"/>
              </w:rPr>
            </w:pPr>
            <w:r w:rsidRPr="00EF0794">
              <w:rPr>
                <w:b/>
                <w:bCs/>
                <w:color w:val="000000"/>
                <w:kern w:val="0"/>
                <w:szCs w:val="21"/>
              </w:rPr>
              <w:t>本次行权的股票期权数量（份）</w:t>
            </w:r>
          </w:p>
        </w:tc>
        <w:tc>
          <w:tcPr>
            <w:tcW w:w="132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AE4ADCE" w14:textId="77777777" w:rsidR="0076233B" w:rsidRPr="00EF0794" w:rsidRDefault="0076233B" w:rsidP="00EE34F2">
            <w:pPr>
              <w:widowControl/>
              <w:jc w:val="center"/>
              <w:rPr>
                <w:b/>
                <w:bCs/>
                <w:color w:val="000000"/>
                <w:kern w:val="0"/>
                <w:szCs w:val="21"/>
              </w:rPr>
            </w:pPr>
            <w:r w:rsidRPr="00EF0794">
              <w:rPr>
                <w:b/>
                <w:bCs/>
                <w:color w:val="000000"/>
                <w:kern w:val="0"/>
                <w:szCs w:val="21"/>
              </w:rPr>
              <w:t>本次实际可行权股票期权数量占本次激励计划授予股票期权总数的比例</w:t>
            </w:r>
          </w:p>
        </w:tc>
      </w:tr>
      <w:tr w:rsidR="0076233B" w:rsidRPr="00EF0794" w14:paraId="2C0FA7B7" w14:textId="77777777" w:rsidTr="00462A6A">
        <w:trPr>
          <w:cantSplit/>
          <w:trHeight w:val="397"/>
          <w:jc w:val="center"/>
        </w:trPr>
        <w:tc>
          <w:tcPr>
            <w:tcW w:w="1535" w:type="pct"/>
            <w:tcBorders>
              <w:top w:val="nil"/>
              <w:left w:val="single" w:sz="4" w:space="0" w:color="auto"/>
              <w:bottom w:val="single" w:sz="4" w:space="0" w:color="auto"/>
              <w:right w:val="single" w:sz="4" w:space="0" w:color="auto"/>
            </w:tcBorders>
            <w:shd w:val="clear" w:color="000000" w:fill="FFFFFF"/>
            <w:vAlign w:val="center"/>
            <w:hideMark/>
          </w:tcPr>
          <w:p w14:paraId="481BBA8E" w14:textId="71B6B99E" w:rsidR="0076233B" w:rsidRPr="00EF0794" w:rsidRDefault="0076233B" w:rsidP="00462A6A">
            <w:pPr>
              <w:widowControl/>
              <w:jc w:val="center"/>
              <w:rPr>
                <w:szCs w:val="21"/>
              </w:rPr>
            </w:pPr>
            <w:r w:rsidRPr="00EF0794">
              <w:rPr>
                <w:szCs w:val="21"/>
              </w:rPr>
              <w:t>中层管理人员</w:t>
            </w:r>
            <w:bookmarkStart w:id="13" w:name="_GoBack"/>
            <w:bookmarkEnd w:id="13"/>
            <w:r w:rsidRPr="00EF0794">
              <w:rPr>
                <w:szCs w:val="21"/>
              </w:rPr>
              <w:t>（</w:t>
            </w:r>
            <w:r w:rsidRPr="00EF0794">
              <w:rPr>
                <w:szCs w:val="21"/>
              </w:rPr>
              <w:t>70</w:t>
            </w:r>
            <w:r w:rsidRPr="00EF0794">
              <w:rPr>
                <w:szCs w:val="21"/>
              </w:rPr>
              <w:t>人）</w:t>
            </w:r>
          </w:p>
        </w:tc>
        <w:tc>
          <w:tcPr>
            <w:tcW w:w="1111" w:type="pct"/>
            <w:tcBorders>
              <w:top w:val="nil"/>
              <w:left w:val="nil"/>
              <w:bottom w:val="single" w:sz="4" w:space="0" w:color="auto"/>
              <w:right w:val="single" w:sz="4" w:space="0" w:color="auto"/>
            </w:tcBorders>
            <w:shd w:val="clear" w:color="000000" w:fill="FFFFFF"/>
            <w:vAlign w:val="center"/>
            <w:hideMark/>
          </w:tcPr>
          <w:p w14:paraId="6AD0B49F" w14:textId="77777777" w:rsidR="0076233B" w:rsidRPr="00EF0794" w:rsidRDefault="0076233B" w:rsidP="00EE34F2">
            <w:pPr>
              <w:widowControl/>
              <w:jc w:val="center"/>
              <w:rPr>
                <w:szCs w:val="21"/>
              </w:rPr>
            </w:pPr>
            <w:r w:rsidRPr="00EF0794">
              <w:rPr>
                <w:color w:val="000000"/>
                <w:szCs w:val="21"/>
              </w:rPr>
              <w:t>505,050</w:t>
            </w:r>
          </w:p>
        </w:tc>
        <w:tc>
          <w:tcPr>
            <w:tcW w:w="1025" w:type="pct"/>
            <w:tcBorders>
              <w:top w:val="nil"/>
              <w:left w:val="nil"/>
              <w:bottom w:val="single" w:sz="4" w:space="0" w:color="auto"/>
              <w:right w:val="single" w:sz="4" w:space="0" w:color="auto"/>
            </w:tcBorders>
            <w:shd w:val="clear" w:color="000000" w:fill="FFFFFF"/>
            <w:vAlign w:val="center"/>
          </w:tcPr>
          <w:p w14:paraId="63AE2C33" w14:textId="77777777" w:rsidR="0076233B" w:rsidRPr="00EF0794" w:rsidRDefault="0076233B" w:rsidP="00EE34F2">
            <w:pPr>
              <w:widowControl/>
              <w:jc w:val="center"/>
              <w:rPr>
                <w:szCs w:val="21"/>
              </w:rPr>
            </w:pPr>
            <w:r w:rsidRPr="00EF0794">
              <w:rPr>
                <w:szCs w:val="21"/>
              </w:rPr>
              <w:t>101,010</w:t>
            </w:r>
          </w:p>
        </w:tc>
        <w:tc>
          <w:tcPr>
            <w:tcW w:w="1329" w:type="pct"/>
            <w:tcBorders>
              <w:top w:val="nil"/>
              <w:left w:val="nil"/>
              <w:bottom w:val="single" w:sz="4" w:space="0" w:color="auto"/>
              <w:right w:val="single" w:sz="4" w:space="0" w:color="auto"/>
            </w:tcBorders>
            <w:shd w:val="clear" w:color="000000" w:fill="FFFFFF"/>
            <w:vAlign w:val="center"/>
          </w:tcPr>
          <w:p w14:paraId="2BE284DC" w14:textId="77777777" w:rsidR="0076233B" w:rsidRPr="00EF0794" w:rsidRDefault="0076233B" w:rsidP="00EE34F2">
            <w:pPr>
              <w:widowControl/>
              <w:jc w:val="center"/>
              <w:rPr>
                <w:szCs w:val="21"/>
              </w:rPr>
            </w:pPr>
            <w:r w:rsidRPr="00EF0794">
              <w:rPr>
                <w:szCs w:val="21"/>
              </w:rPr>
              <w:t>20%</w:t>
            </w:r>
          </w:p>
        </w:tc>
      </w:tr>
    </w:tbl>
    <w:p w14:paraId="6FA1EF5E" w14:textId="238829B1" w:rsidR="0076233B" w:rsidRPr="00EF0794" w:rsidRDefault="000450AE" w:rsidP="0076233B">
      <w:pPr>
        <w:ind w:firstLineChars="200" w:firstLine="420"/>
        <w:rPr>
          <w:szCs w:val="21"/>
        </w:rPr>
      </w:pPr>
      <w:bookmarkStart w:id="14" w:name="_Hlk117103755"/>
      <w:r w:rsidRPr="00EF0794">
        <w:rPr>
          <w:szCs w:val="21"/>
        </w:rPr>
        <w:t>注：</w:t>
      </w:r>
      <w:r w:rsidR="0076233B" w:rsidRPr="00EF0794">
        <w:rPr>
          <w:szCs w:val="21"/>
        </w:rPr>
        <w:t>上表中</w:t>
      </w:r>
      <w:r w:rsidRPr="00EF0794">
        <w:rPr>
          <w:szCs w:val="21"/>
        </w:rPr>
        <w:t>“</w:t>
      </w:r>
      <w:r w:rsidRPr="00EF0794">
        <w:rPr>
          <w:szCs w:val="21"/>
        </w:rPr>
        <w:t>本次行权前持有的股票期权数量</w:t>
      </w:r>
      <w:r w:rsidRPr="00EF0794">
        <w:rPr>
          <w:szCs w:val="21"/>
        </w:rPr>
        <w:t>”</w:t>
      </w:r>
      <w:r w:rsidRPr="00EF0794">
        <w:rPr>
          <w:szCs w:val="21"/>
        </w:rPr>
        <w:t>不包括如下：</w:t>
      </w:r>
      <w:r w:rsidR="0076233B" w:rsidRPr="00EF0794">
        <w:rPr>
          <w:szCs w:val="21"/>
        </w:rPr>
        <w:t>1</w:t>
      </w:r>
      <w:r w:rsidR="0076233B" w:rsidRPr="00EF0794">
        <w:rPr>
          <w:szCs w:val="21"/>
        </w:rPr>
        <w:t>名因离职而不再具备激励对象资格的原激励对象，</w:t>
      </w:r>
      <w:r w:rsidRPr="00EF0794">
        <w:rPr>
          <w:szCs w:val="21"/>
        </w:rPr>
        <w:t>对应持有的已获</w:t>
      </w:r>
      <w:proofErr w:type="gramStart"/>
      <w:r w:rsidRPr="00EF0794">
        <w:rPr>
          <w:szCs w:val="21"/>
        </w:rPr>
        <w:t>授尚未</w:t>
      </w:r>
      <w:proofErr w:type="gramEnd"/>
      <w:r w:rsidRPr="00EF0794">
        <w:rPr>
          <w:szCs w:val="21"/>
        </w:rPr>
        <w:t>行权的股票期权数量</w:t>
      </w:r>
      <w:r w:rsidR="0076233B" w:rsidRPr="00EF0794">
        <w:rPr>
          <w:szCs w:val="21"/>
        </w:rPr>
        <w:t>8,750</w:t>
      </w:r>
      <w:r w:rsidR="0076233B" w:rsidRPr="00EF0794">
        <w:rPr>
          <w:szCs w:val="21"/>
        </w:rPr>
        <w:t>份</w:t>
      </w:r>
      <w:r w:rsidRPr="00EF0794">
        <w:rPr>
          <w:szCs w:val="21"/>
        </w:rPr>
        <w:t>。</w:t>
      </w:r>
    </w:p>
    <w:bookmarkEnd w:id="14"/>
    <w:p w14:paraId="71B4DCED" w14:textId="3BB4E473" w:rsidR="0076233B" w:rsidRPr="00EF0794" w:rsidRDefault="0076233B" w:rsidP="0076233B">
      <w:pPr>
        <w:autoSpaceDE w:val="0"/>
        <w:autoSpaceDN w:val="0"/>
        <w:spacing w:beforeLines="50" w:before="156" w:line="360" w:lineRule="auto"/>
        <w:ind w:firstLineChars="200" w:firstLine="480"/>
        <w:rPr>
          <w:kern w:val="0"/>
          <w:sz w:val="24"/>
        </w:rPr>
      </w:pPr>
      <w:r w:rsidRPr="00EF0794">
        <w:rPr>
          <w:kern w:val="0"/>
          <w:sz w:val="24"/>
        </w:rPr>
        <w:t>（</w:t>
      </w:r>
      <w:r w:rsidR="007053B2" w:rsidRPr="00EF0794">
        <w:rPr>
          <w:kern w:val="0"/>
          <w:sz w:val="24"/>
        </w:rPr>
        <w:t>八</w:t>
      </w:r>
      <w:r w:rsidRPr="00EF0794">
        <w:rPr>
          <w:kern w:val="0"/>
          <w:sz w:val="24"/>
        </w:rPr>
        <w:t>）本次激励计划股票期权采用自主行权方式，可行权期限为自中国证券登记结算有限责任公司深圳分公司自主行权手续办理完毕之日起至</w:t>
      </w:r>
      <w:r w:rsidRPr="00EF0794">
        <w:rPr>
          <w:kern w:val="0"/>
          <w:sz w:val="24"/>
        </w:rPr>
        <w:t>2023</w:t>
      </w:r>
      <w:r w:rsidRPr="00EF0794">
        <w:rPr>
          <w:kern w:val="0"/>
          <w:sz w:val="24"/>
        </w:rPr>
        <w:t>年</w:t>
      </w:r>
      <w:r w:rsidRPr="00EF0794">
        <w:rPr>
          <w:kern w:val="0"/>
          <w:sz w:val="24"/>
        </w:rPr>
        <w:t>11</w:t>
      </w:r>
      <w:r w:rsidRPr="00EF0794">
        <w:rPr>
          <w:kern w:val="0"/>
          <w:sz w:val="24"/>
        </w:rPr>
        <w:t>月</w:t>
      </w:r>
      <w:r w:rsidRPr="00EF0794">
        <w:rPr>
          <w:kern w:val="0"/>
          <w:sz w:val="24"/>
        </w:rPr>
        <w:t>18</w:t>
      </w:r>
      <w:r w:rsidRPr="00EF0794">
        <w:rPr>
          <w:kern w:val="0"/>
          <w:sz w:val="24"/>
        </w:rPr>
        <w:t>日止。</w:t>
      </w:r>
    </w:p>
    <w:p w14:paraId="428C7133" w14:textId="59999595" w:rsidR="0076233B" w:rsidRPr="00EF0794" w:rsidRDefault="0076233B" w:rsidP="0076233B">
      <w:pPr>
        <w:autoSpaceDE w:val="0"/>
        <w:autoSpaceDN w:val="0"/>
        <w:spacing w:beforeLines="50" w:before="156" w:line="360" w:lineRule="auto"/>
        <w:ind w:firstLineChars="200" w:firstLine="480"/>
        <w:rPr>
          <w:kern w:val="0"/>
          <w:sz w:val="24"/>
        </w:rPr>
      </w:pPr>
      <w:r w:rsidRPr="00EF0794">
        <w:rPr>
          <w:kern w:val="0"/>
          <w:sz w:val="24"/>
        </w:rPr>
        <w:t>（</w:t>
      </w:r>
      <w:r w:rsidR="00B525D7" w:rsidRPr="00EF0794">
        <w:rPr>
          <w:kern w:val="0"/>
          <w:sz w:val="24"/>
        </w:rPr>
        <w:t>九</w:t>
      </w:r>
      <w:r w:rsidRPr="00EF0794">
        <w:rPr>
          <w:kern w:val="0"/>
          <w:sz w:val="24"/>
        </w:rPr>
        <w:t>）可行权日必须为交易日，但不得在下列期间内行权：</w:t>
      </w:r>
    </w:p>
    <w:p w14:paraId="20DF8A2B" w14:textId="77777777" w:rsidR="0076233B" w:rsidRPr="00EF0794" w:rsidRDefault="0076233B" w:rsidP="0076233B">
      <w:pPr>
        <w:autoSpaceDE w:val="0"/>
        <w:autoSpaceDN w:val="0"/>
        <w:spacing w:beforeLines="50" w:before="156" w:line="360" w:lineRule="auto"/>
        <w:ind w:firstLineChars="200" w:firstLine="480"/>
        <w:rPr>
          <w:kern w:val="0"/>
          <w:sz w:val="24"/>
        </w:rPr>
      </w:pPr>
      <w:r w:rsidRPr="00EF0794">
        <w:rPr>
          <w:kern w:val="0"/>
          <w:sz w:val="24"/>
        </w:rPr>
        <w:t>1</w:t>
      </w:r>
      <w:r w:rsidRPr="00EF0794">
        <w:rPr>
          <w:kern w:val="0"/>
          <w:sz w:val="24"/>
        </w:rPr>
        <w:t>、公司年度报告、半年度报告公告前三十日内，因特殊原因推迟公告日期的，自原预约公告日前三十日起算；</w:t>
      </w:r>
    </w:p>
    <w:p w14:paraId="3AC468E4" w14:textId="77777777" w:rsidR="0076233B" w:rsidRPr="00EF0794" w:rsidRDefault="0076233B" w:rsidP="0076233B">
      <w:pPr>
        <w:autoSpaceDE w:val="0"/>
        <w:autoSpaceDN w:val="0"/>
        <w:spacing w:beforeLines="50" w:before="156" w:line="360" w:lineRule="auto"/>
        <w:ind w:firstLineChars="200" w:firstLine="480"/>
        <w:rPr>
          <w:kern w:val="0"/>
          <w:sz w:val="24"/>
        </w:rPr>
      </w:pPr>
      <w:r w:rsidRPr="00EF0794">
        <w:rPr>
          <w:kern w:val="0"/>
          <w:sz w:val="24"/>
        </w:rPr>
        <w:t>2</w:t>
      </w:r>
      <w:r w:rsidRPr="00EF0794">
        <w:rPr>
          <w:kern w:val="0"/>
          <w:sz w:val="24"/>
        </w:rPr>
        <w:t>、公司季度报告、业绩预告、业绩快报公告前十日内；</w:t>
      </w:r>
    </w:p>
    <w:p w14:paraId="1BF8C16E" w14:textId="77777777" w:rsidR="0076233B" w:rsidRPr="00EF0794" w:rsidRDefault="0076233B" w:rsidP="0076233B">
      <w:pPr>
        <w:autoSpaceDE w:val="0"/>
        <w:autoSpaceDN w:val="0"/>
        <w:spacing w:beforeLines="50" w:before="156" w:line="360" w:lineRule="auto"/>
        <w:ind w:firstLineChars="200" w:firstLine="480"/>
        <w:rPr>
          <w:kern w:val="0"/>
          <w:sz w:val="24"/>
        </w:rPr>
      </w:pPr>
      <w:r w:rsidRPr="00EF0794">
        <w:rPr>
          <w:kern w:val="0"/>
          <w:sz w:val="24"/>
        </w:rPr>
        <w:t>3</w:t>
      </w:r>
      <w:r w:rsidRPr="00EF0794">
        <w:rPr>
          <w:kern w:val="0"/>
          <w:sz w:val="24"/>
        </w:rPr>
        <w:t>、</w:t>
      </w:r>
      <w:proofErr w:type="gramStart"/>
      <w:r w:rsidRPr="00EF0794">
        <w:rPr>
          <w:kern w:val="0"/>
          <w:sz w:val="24"/>
        </w:rPr>
        <w:t>自可能</w:t>
      </w:r>
      <w:proofErr w:type="gramEnd"/>
      <w:r w:rsidRPr="00EF0794">
        <w:rPr>
          <w:kern w:val="0"/>
          <w:sz w:val="24"/>
        </w:rPr>
        <w:t>对本公司股票及其衍生品种交易价格产生较大影响的重大事件发生之日或者进入决策程序之日，</w:t>
      </w:r>
      <w:proofErr w:type="gramStart"/>
      <w:r w:rsidRPr="00EF0794">
        <w:rPr>
          <w:kern w:val="0"/>
          <w:sz w:val="24"/>
        </w:rPr>
        <w:t>至依法</w:t>
      </w:r>
      <w:proofErr w:type="gramEnd"/>
      <w:r w:rsidRPr="00EF0794">
        <w:rPr>
          <w:kern w:val="0"/>
          <w:sz w:val="24"/>
        </w:rPr>
        <w:t>披露之日；</w:t>
      </w:r>
    </w:p>
    <w:p w14:paraId="31216131" w14:textId="476CF1A8" w:rsidR="0076233B" w:rsidRPr="00EF0794" w:rsidRDefault="0076233B" w:rsidP="0076233B">
      <w:pPr>
        <w:autoSpaceDE w:val="0"/>
        <w:autoSpaceDN w:val="0"/>
        <w:spacing w:beforeLines="50" w:before="156" w:line="360" w:lineRule="auto"/>
        <w:ind w:firstLineChars="200" w:firstLine="480"/>
        <w:rPr>
          <w:kern w:val="0"/>
          <w:sz w:val="24"/>
        </w:rPr>
      </w:pPr>
      <w:r w:rsidRPr="00EF0794">
        <w:rPr>
          <w:kern w:val="0"/>
          <w:sz w:val="24"/>
        </w:rPr>
        <w:t>4</w:t>
      </w:r>
      <w:r w:rsidRPr="00EF0794">
        <w:rPr>
          <w:kern w:val="0"/>
          <w:sz w:val="24"/>
        </w:rPr>
        <w:t>、中国证监会及深圳证券交易所规定的其它期间。</w:t>
      </w:r>
    </w:p>
    <w:p w14:paraId="397F86FC" w14:textId="4DE490FE" w:rsidR="00C93094" w:rsidRPr="00EF0794" w:rsidRDefault="00C93094" w:rsidP="0076233B">
      <w:pPr>
        <w:autoSpaceDE w:val="0"/>
        <w:autoSpaceDN w:val="0"/>
        <w:spacing w:beforeLines="50" w:before="156" w:line="360" w:lineRule="auto"/>
        <w:ind w:firstLineChars="200" w:firstLine="480"/>
        <w:rPr>
          <w:kern w:val="0"/>
          <w:sz w:val="24"/>
        </w:rPr>
      </w:pPr>
      <w:r w:rsidRPr="00EF0794">
        <w:rPr>
          <w:kern w:val="0"/>
          <w:sz w:val="24"/>
        </w:rPr>
        <w:t>在本激励计划有效期内，如果《公司法》《证券法》等相关法律、行政法规、规范性文件和《公司章程》中对上述期间的有关规定发生变化，则本期股票期权可行权</w:t>
      </w:r>
      <w:proofErr w:type="gramStart"/>
      <w:r w:rsidRPr="00EF0794">
        <w:rPr>
          <w:kern w:val="0"/>
          <w:sz w:val="24"/>
        </w:rPr>
        <w:t>日根据</w:t>
      </w:r>
      <w:proofErr w:type="gramEnd"/>
      <w:r w:rsidRPr="00EF0794">
        <w:rPr>
          <w:kern w:val="0"/>
          <w:sz w:val="24"/>
        </w:rPr>
        <w:t>最新规定相应调整。</w:t>
      </w:r>
    </w:p>
    <w:p w14:paraId="689A7289" w14:textId="5D2D4954" w:rsidR="0076233B" w:rsidRPr="00EF0794" w:rsidRDefault="0076233B" w:rsidP="0076233B">
      <w:pPr>
        <w:autoSpaceDE w:val="0"/>
        <w:autoSpaceDN w:val="0"/>
        <w:spacing w:beforeLines="50" w:before="156" w:line="360" w:lineRule="auto"/>
        <w:ind w:firstLineChars="200" w:firstLine="480"/>
        <w:rPr>
          <w:kern w:val="0"/>
          <w:sz w:val="24"/>
        </w:rPr>
      </w:pPr>
      <w:r w:rsidRPr="00EF0794">
        <w:rPr>
          <w:kern w:val="0"/>
          <w:sz w:val="24"/>
        </w:rPr>
        <w:t>（</w:t>
      </w:r>
      <w:r w:rsidR="00B525D7" w:rsidRPr="00EF0794">
        <w:rPr>
          <w:kern w:val="0"/>
          <w:sz w:val="24"/>
        </w:rPr>
        <w:t>十</w:t>
      </w:r>
      <w:r w:rsidRPr="00EF0794">
        <w:rPr>
          <w:kern w:val="0"/>
          <w:sz w:val="24"/>
        </w:rPr>
        <w:t>）不符合条件的股票期权处理方式不符合条件的股票期权，不得行权或递延至下期行权，公司将按照激励计划规定注销相应的股票期权。</w:t>
      </w:r>
      <w:proofErr w:type="gramStart"/>
      <w:r w:rsidRPr="00EF0794">
        <w:rPr>
          <w:kern w:val="0"/>
          <w:sz w:val="24"/>
        </w:rPr>
        <w:t>在行权期结束</w:t>
      </w:r>
      <w:proofErr w:type="gramEnd"/>
      <w:r w:rsidRPr="00EF0794">
        <w:rPr>
          <w:kern w:val="0"/>
          <w:sz w:val="24"/>
        </w:rPr>
        <w:t>后，激励对象未行权的当期股票期权终止行权，公司将予以注销。</w:t>
      </w:r>
    </w:p>
    <w:p w14:paraId="0828D487" w14:textId="77777777" w:rsidR="0076233B" w:rsidRPr="00EF0794" w:rsidRDefault="0076233B" w:rsidP="0076233B">
      <w:pPr>
        <w:spacing w:beforeLines="50" w:before="156" w:afterLines="50" w:after="156" w:line="360" w:lineRule="auto"/>
        <w:ind w:firstLineChars="200" w:firstLine="482"/>
        <w:rPr>
          <w:b/>
          <w:bCs/>
          <w:sz w:val="24"/>
        </w:rPr>
      </w:pPr>
      <w:r w:rsidRPr="00EF0794">
        <w:rPr>
          <w:b/>
          <w:bCs/>
          <w:sz w:val="24"/>
        </w:rPr>
        <w:t>五、公司本次激励计划的激励对象不包含董事、高级管理人员以及持股</w:t>
      </w:r>
      <w:r w:rsidRPr="00EF0794">
        <w:rPr>
          <w:b/>
          <w:bCs/>
          <w:sz w:val="24"/>
        </w:rPr>
        <w:t>5%</w:t>
      </w:r>
      <w:r w:rsidRPr="00EF0794">
        <w:rPr>
          <w:b/>
          <w:bCs/>
          <w:sz w:val="24"/>
        </w:rPr>
        <w:lastRenderedPageBreak/>
        <w:t>以上股东</w:t>
      </w:r>
    </w:p>
    <w:p w14:paraId="216E01F5" w14:textId="77777777" w:rsidR="0076233B" w:rsidRPr="00EF0794" w:rsidRDefault="0076233B" w:rsidP="0076233B">
      <w:pPr>
        <w:spacing w:beforeLines="50" w:before="156" w:afterLines="50" w:after="156" w:line="360" w:lineRule="auto"/>
        <w:ind w:firstLineChars="200" w:firstLine="482"/>
        <w:rPr>
          <w:b/>
          <w:bCs/>
          <w:sz w:val="24"/>
        </w:rPr>
      </w:pPr>
      <w:r w:rsidRPr="00EF0794">
        <w:rPr>
          <w:b/>
          <w:bCs/>
          <w:sz w:val="24"/>
        </w:rPr>
        <w:t>六、募集资金的使用计划</w:t>
      </w:r>
    </w:p>
    <w:p w14:paraId="144DCF5A" w14:textId="11D903C7" w:rsidR="0076233B" w:rsidRPr="00EF0794" w:rsidRDefault="0076233B" w:rsidP="0076233B">
      <w:pPr>
        <w:spacing w:beforeLines="50" w:before="156" w:afterLines="50" w:after="156" w:line="360" w:lineRule="auto"/>
        <w:ind w:firstLineChars="200" w:firstLine="480"/>
        <w:rPr>
          <w:sz w:val="24"/>
        </w:rPr>
      </w:pPr>
      <w:r w:rsidRPr="00EF0794">
        <w:rPr>
          <w:sz w:val="24"/>
        </w:rPr>
        <w:t>本次行权所募集资金将存储于行权专户，用于补充公司流动资金</w:t>
      </w:r>
      <w:r w:rsidR="000C74A7" w:rsidRPr="00EF0794">
        <w:rPr>
          <w:sz w:val="24"/>
        </w:rPr>
        <w:t>。</w:t>
      </w:r>
    </w:p>
    <w:p w14:paraId="4A7CD472" w14:textId="6BA000C9" w:rsidR="00FE6B31" w:rsidRPr="00EF0794" w:rsidRDefault="00FE6B31" w:rsidP="00FE6B31">
      <w:pPr>
        <w:spacing w:beforeLines="50" w:before="156" w:afterLines="50" w:after="156" w:line="360" w:lineRule="auto"/>
        <w:ind w:firstLineChars="200" w:firstLine="482"/>
        <w:rPr>
          <w:b/>
          <w:bCs/>
          <w:sz w:val="24"/>
        </w:rPr>
      </w:pPr>
      <w:r w:rsidRPr="00EF0794">
        <w:rPr>
          <w:b/>
          <w:bCs/>
          <w:sz w:val="24"/>
        </w:rPr>
        <w:t>七、监事会、独立董事和中介机构意见</w:t>
      </w:r>
    </w:p>
    <w:p w14:paraId="31EEE970" w14:textId="47C1F925" w:rsidR="00FE6B31" w:rsidRPr="00EF0794" w:rsidRDefault="00FE6B31" w:rsidP="00FE6B31">
      <w:pPr>
        <w:spacing w:beforeLines="50" w:before="156" w:afterLines="50" w:after="156" w:line="360" w:lineRule="auto"/>
        <w:ind w:firstLineChars="200" w:firstLine="482"/>
        <w:rPr>
          <w:b/>
          <w:bCs/>
          <w:sz w:val="24"/>
        </w:rPr>
      </w:pPr>
      <w:r w:rsidRPr="00EF0794">
        <w:rPr>
          <w:b/>
          <w:bCs/>
          <w:sz w:val="24"/>
        </w:rPr>
        <w:t>（一）监事会意见</w:t>
      </w:r>
      <w:r w:rsidR="00911ADC" w:rsidRPr="00EF0794">
        <w:rPr>
          <w:b/>
          <w:bCs/>
          <w:sz w:val="24"/>
        </w:rPr>
        <w:t>及对激励对象名单的核实情况</w:t>
      </w:r>
    </w:p>
    <w:p w14:paraId="15CBDCFD" w14:textId="608ED944" w:rsidR="00534BEE" w:rsidRPr="00EF0794" w:rsidRDefault="00A4319F" w:rsidP="00534BEE">
      <w:pPr>
        <w:spacing w:beforeLines="50" w:before="156" w:afterLines="50" w:after="156" w:line="360" w:lineRule="auto"/>
        <w:ind w:firstLineChars="200" w:firstLine="480"/>
        <w:rPr>
          <w:sz w:val="24"/>
        </w:rPr>
      </w:pPr>
      <w:r w:rsidRPr="00EF0794">
        <w:rPr>
          <w:sz w:val="24"/>
        </w:rPr>
        <w:t>经审核，监事会认为：</w:t>
      </w:r>
      <w:r w:rsidR="00534BEE" w:rsidRPr="00EF0794">
        <w:rPr>
          <w:sz w:val="24"/>
          <w:szCs w:val="21"/>
        </w:rPr>
        <w:t>根据</w:t>
      </w:r>
      <w:r w:rsidR="00534BEE" w:rsidRPr="00EF0794">
        <w:rPr>
          <w:kern w:val="0"/>
          <w:sz w:val="24"/>
        </w:rPr>
        <w:t>《上市公司股权激励管理办法》</w:t>
      </w:r>
      <w:r w:rsidR="00534BEE" w:rsidRPr="00EF0794">
        <w:rPr>
          <w:sz w:val="24"/>
          <w:szCs w:val="21"/>
        </w:rPr>
        <w:t>、公司</w:t>
      </w:r>
      <w:r w:rsidR="00534BEE" w:rsidRPr="00EF0794">
        <w:rPr>
          <w:kern w:val="0"/>
          <w:sz w:val="24"/>
        </w:rPr>
        <w:t>《</w:t>
      </w:r>
      <w:r w:rsidR="00534BEE" w:rsidRPr="00EF0794">
        <w:rPr>
          <w:kern w:val="0"/>
          <w:sz w:val="24"/>
        </w:rPr>
        <w:t>2021</w:t>
      </w:r>
      <w:r w:rsidR="00534BEE" w:rsidRPr="00EF0794">
        <w:rPr>
          <w:kern w:val="0"/>
          <w:sz w:val="24"/>
        </w:rPr>
        <w:t>年股票期权与限制性股票激励计划（草案）》、公司《</w:t>
      </w:r>
      <w:r w:rsidR="00534BEE" w:rsidRPr="00EF0794">
        <w:rPr>
          <w:kern w:val="0"/>
          <w:sz w:val="24"/>
        </w:rPr>
        <w:t>2021</w:t>
      </w:r>
      <w:r w:rsidR="00534BEE" w:rsidRPr="00EF0794">
        <w:rPr>
          <w:kern w:val="0"/>
          <w:sz w:val="24"/>
        </w:rPr>
        <w:t>年股票期权与限制性股票激励计划实施考核管理办法》等相关规定</w:t>
      </w:r>
      <w:r w:rsidR="00534BEE" w:rsidRPr="00EF0794">
        <w:rPr>
          <w:sz w:val="24"/>
          <w:szCs w:val="21"/>
        </w:rPr>
        <w:t>，公司</w:t>
      </w:r>
      <w:r w:rsidR="00534BEE" w:rsidRPr="00EF0794">
        <w:rPr>
          <w:sz w:val="24"/>
          <w:szCs w:val="21"/>
        </w:rPr>
        <w:t>202</w:t>
      </w:r>
      <w:r w:rsidR="00534BEE" w:rsidRPr="00EF0794">
        <w:rPr>
          <w:sz w:val="24"/>
        </w:rPr>
        <w:t>1</w:t>
      </w:r>
      <w:r w:rsidR="00534BEE" w:rsidRPr="00EF0794">
        <w:rPr>
          <w:sz w:val="24"/>
          <w:szCs w:val="21"/>
        </w:rPr>
        <w:t>年激励计划</w:t>
      </w:r>
      <w:r w:rsidR="008E1EE8" w:rsidRPr="00EF0794">
        <w:rPr>
          <w:sz w:val="24"/>
          <w:szCs w:val="21"/>
        </w:rPr>
        <w:t>之</w:t>
      </w:r>
      <w:r w:rsidR="00534BEE" w:rsidRPr="00EF0794">
        <w:rPr>
          <w:sz w:val="24"/>
        </w:rPr>
        <w:t>股票期权首次及预留授予</w:t>
      </w:r>
      <w:r w:rsidR="00534BEE" w:rsidRPr="00EF0794">
        <w:rPr>
          <w:sz w:val="24"/>
          <w:szCs w:val="21"/>
        </w:rPr>
        <w:t>第</w:t>
      </w:r>
      <w:r w:rsidR="00534BEE" w:rsidRPr="00EF0794">
        <w:rPr>
          <w:sz w:val="24"/>
        </w:rPr>
        <w:t>一</w:t>
      </w:r>
      <w:r w:rsidR="00534BEE" w:rsidRPr="00EF0794">
        <w:rPr>
          <w:sz w:val="24"/>
          <w:szCs w:val="21"/>
        </w:rPr>
        <w:t>个</w:t>
      </w:r>
      <w:r w:rsidR="00534BEE" w:rsidRPr="00EF0794">
        <w:rPr>
          <w:sz w:val="24"/>
        </w:rPr>
        <w:t>行权期</w:t>
      </w:r>
      <w:r w:rsidR="00534BEE" w:rsidRPr="00EF0794">
        <w:rPr>
          <w:sz w:val="24"/>
          <w:szCs w:val="21"/>
        </w:rPr>
        <w:t>即将届满，</w:t>
      </w:r>
      <w:r w:rsidR="00534BEE" w:rsidRPr="00EF0794">
        <w:rPr>
          <w:sz w:val="24"/>
        </w:rPr>
        <w:t>行权</w:t>
      </w:r>
      <w:r w:rsidR="00534BEE" w:rsidRPr="00EF0794">
        <w:rPr>
          <w:sz w:val="24"/>
          <w:szCs w:val="21"/>
        </w:rPr>
        <w:t>条件已经成就。同时，监事会对本期</w:t>
      </w:r>
      <w:r w:rsidR="00534BEE" w:rsidRPr="00EF0794">
        <w:rPr>
          <w:sz w:val="24"/>
        </w:rPr>
        <w:t>行权</w:t>
      </w:r>
      <w:r w:rsidR="00534BEE" w:rsidRPr="00EF0794">
        <w:rPr>
          <w:sz w:val="24"/>
          <w:szCs w:val="21"/>
        </w:rPr>
        <w:t>的激励对象名单进行了核实，认为</w:t>
      </w:r>
      <w:r w:rsidR="00534BEE" w:rsidRPr="00EF0794">
        <w:rPr>
          <w:sz w:val="24"/>
        </w:rPr>
        <w:t>该</w:t>
      </w:r>
      <w:r w:rsidR="00534BEE" w:rsidRPr="00EF0794">
        <w:rPr>
          <w:sz w:val="24"/>
          <w:szCs w:val="21"/>
        </w:rPr>
        <w:t>激励对象的归属资格合法、有效。</w:t>
      </w:r>
      <w:r w:rsidR="00534BEE" w:rsidRPr="00EF0794">
        <w:rPr>
          <w:sz w:val="24"/>
        </w:rPr>
        <w:t>因此，监事会同意按照激励计划规定为符合条件的激励对象办理首次及预留授予第一个行权期股票期权的行权手续。</w:t>
      </w:r>
    </w:p>
    <w:p w14:paraId="20F7A846" w14:textId="245C7F21" w:rsidR="00D16995" w:rsidRPr="00EF0794" w:rsidRDefault="00FE6B31" w:rsidP="00D16995">
      <w:pPr>
        <w:spacing w:beforeLines="50" w:before="156" w:afterLines="50" w:after="156" w:line="360" w:lineRule="auto"/>
        <w:ind w:firstLineChars="200" w:firstLine="482"/>
        <w:rPr>
          <w:b/>
          <w:bCs/>
          <w:sz w:val="24"/>
        </w:rPr>
      </w:pPr>
      <w:r w:rsidRPr="00EF0794">
        <w:rPr>
          <w:b/>
          <w:bCs/>
          <w:sz w:val="24"/>
        </w:rPr>
        <w:t>（二）</w:t>
      </w:r>
      <w:r w:rsidR="00D16995" w:rsidRPr="00EF0794">
        <w:rPr>
          <w:b/>
          <w:bCs/>
          <w:sz w:val="24"/>
        </w:rPr>
        <w:t>独立董事意见</w:t>
      </w:r>
    </w:p>
    <w:p w14:paraId="764241EC" w14:textId="12A1B61F" w:rsidR="00D16995" w:rsidRPr="00EF0794" w:rsidRDefault="00D16995" w:rsidP="0056071F">
      <w:pPr>
        <w:spacing w:beforeLines="50" w:before="156" w:afterLines="50" w:after="156" w:line="360" w:lineRule="auto"/>
        <w:ind w:firstLineChars="200" w:firstLine="480"/>
        <w:rPr>
          <w:sz w:val="24"/>
        </w:rPr>
      </w:pPr>
      <w:r w:rsidRPr="00EF0794">
        <w:rPr>
          <w:sz w:val="24"/>
        </w:rPr>
        <w:t>经核查，独立董事认为：</w:t>
      </w:r>
      <w:r w:rsidR="0055023D" w:rsidRPr="00EF0794">
        <w:rPr>
          <w:sz w:val="24"/>
        </w:rPr>
        <w:t>根据《上市公司股权激励管理办法》和公司</w:t>
      </w:r>
      <w:r w:rsidR="0055023D" w:rsidRPr="00EF0794">
        <w:rPr>
          <w:sz w:val="24"/>
        </w:rPr>
        <w:t>2021</w:t>
      </w:r>
      <w:r w:rsidR="0055023D" w:rsidRPr="00EF0794">
        <w:rPr>
          <w:sz w:val="24"/>
        </w:rPr>
        <w:t>年股票期权与限制性股票激励计划的相关规定，本次激励计划股票期权首次及预留授予第一个行权期行权条件已经成就。本次可行权的激励对象符合行权的资格条件，其作为本次股票期权的激励对象主体资格合法、有效。本议案的决策程序符合法律、法规及《公司章程》的规定，不存在损害公司、公司股东特别是中小股东利益的情形。因此，同意公司为满足条件的激励对象办理股票期权首次及预留授予第一个行权期股票期权的行权手续。</w:t>
      </w:r>
    </w:p>
    <w:p w14:paraId="0A9C94AC" w14:textId="77777777" w:rsidR="00FE6B31" w:rsidRPr="00EF0794" w:rsidRDefault="00FE6B31" w:rsidP="00FE6B31">
      <w:pPr>
        <w:autoSpaceDE w:val="0"/>
        <w:autoSpaceDN w:val="0"/>
        <w:spacing w:beforeLines="50" w:before="156" w:line="360" w:lineRule="auto"/>
        <w:ind w:firstLineChars="200" w:firstLine="482"/>
        <w:rPr>
          <w:b/>
          <w:kern w:val="0"/>
          <w:sz w:val="24"/>
        </w:rPr>
      </w:pPr>
      <w:r w:rsidRPr="00EF0794">
        <w:rPr>
          <w:b/>
          <w:kern w:val="0"/>
          <w:sz w:val="24"/>
        </w:rPr>
        <w:t>（三）上海通力律师事务所出具的法律意见书结论性意见</w:t>
      </w:r>
    </w:p>
    <w:p w14:paraId="3400532A" w14:textId="2F27300C" w:rsidR="00FE6B31" w:rsidRPr="00EF0794" w:rsidRDefault="00D64291" w:rsidP="00D64291">
      <w:pPr>
        <w:spacing w:beforeLines="50" w:before="156" w:afterLines="50" w:after="156" w:line="360" w:lineRule="auto"/>
        <w:ind w:firstLineChars="200" w:firstLine="480"/>
        <w:rPr>
          <w:color w:val="000000" w:themeColor="text1"/>
          <w:kern w:val="0"/>
          <w:sz w:val="24"/>
        </w:rPr>
      </w:pPr>
      <w:r w:rsidRPr="00EF0794">
        <w:rPr>
          <w:color w:val="000000" w:themeColor="text1"/>
          <w:kern w:val="0"/>
          <w:sz w:val="24"/>
        </w:rPr>
        <w:t>上海通力律师事务所律师认为：截至本法律意见书出具之日，公司本次归属</w:t>
      </w:r>
      <w:r w:rsidRPr="00EF0794">
        <w:rPr>
          <w:color w:val="000000" w:themeColor="text1"/>
          <w:kern w:val="0"/>
          <w:sz w:val="24"/>
        </w:rPr>
        <w:t>/</w:t>
      </w:r>
      <w:r w:rsidRPr="00EF0794">
        <w:rPr>
          <w:color w:val="000000" w:themeColor="text1"/>
          <w:kern w:val="0"/>
          <w:sz w:val="24"/>
        </w:rPr>
        <w:t>行权、注销及作废事项己经取得现阶段必要的授权和批准；公司</w:t>
      </w:r>
      <w:r w:rsidRPr="00EF0794">
        <w:rPr>
          <w:color w:val="000000" w:themeColor="text1"/>
          <w:kern w:val="0"/>
          <w:sz w:val="24"/>
        </w:rPr>
        <w:t>2021</w:t>
      </w:r>
      <w:r w:rsidRPr="00EF0794">
        <w:rPr>
          <w:color w:val="000000" w:themeColor="text1"/>
          <w:kern w:val="0"/>
          <w:sz w:val="24"/>
        </w:rPr>
        <w:t>年激励计划将于</w:t>
      </w:r>
      <w:r w:rsidRPr="00EF0794">
        <w:rPr>
          <w:color w:val="000000" w:themeColor="text1"/>
          <w:kern w:val="0"/>
          <w:sz w:val="24"/>
        </w:rPr>
        <w:t>2022</w:t>
      </w:r>
      <w:r w:rsidRPr="00EF0794">
        <w:rPr>
          <w:color w:val="000000" w:themeColor="text1"/>
          <w:kern w:val="0"/>
          <w:sz w:val="24"/>
        </w:rPr>
        <w:t>年</w:t>
      </w:r>
      <w:r w:rsidRPr="00EF0794">
        <w:rPr>
          <w:color w:val="000000" w:themeColor="text1"/>
          <w:kern w:val="0"/>
          <w:sz w:val="24"/>
        </w:rPr>
        <w:t>11</w:t>
      </w:r>
      <w:r w:rsidRPr="00EF0794">
        <w:rPr>
          <w:color w:val="000000" w:themeColor="text1"/>
          <w:kern w:val="0"/>
          <w:sz w:val="24"/>
        </w:rPr>
        <w:t>月</w:t>
      </w:r>
      <w:r w:rsidRPr="00EF0794">
        <w:rPr>
          <w:color w:val="000000" w:themeColor="text1"/>
          <w:kern w:val="0"/>
          <w:sz w:val="24"/>
        </w:rPr>
        <w:t>19</w:t>
      </w:r>
      <w:r w:rsidRPr="00EF0794">
        <w:rPr>
          <w:color w:val="000000" w:themeColor="text1"/>
          <w:kern w:val="0"/>
          <w:sz w:val="24"/>
        </w:rPr>
        <w:t>日进入第一个归属期</w:t>
      </w:r>
      <w:r w:rsidRPr="00EF0794">
        <w:rPr>
          <w:color w:val="000000" w:themeColor="text1"/>
          <w:kern w:val="0"/>
          <w:sz w:val="24"/>
        </w:rPr>
        <w:t>/</w:t>
      </w:r>
      <w:r w:rsidRPr="00EF0794">
        <w:rPr>
          <w:color w:val="000000" w:themeColor="text1"/>
          <w:kern w:val="0"/>
          <w:sz w:val="24"/>
        </w:rPr>
        <w:t>行权期，本次归属</w:t>
      </w:r>
      <w:r w:rsidRPr="00EF0794">
        <w:rPr>
          <w:color w:val="000000" w:themeColor="text1"/>
          <w:kern w:val="0"/>
          <w:sz w:val="24"/>
        </w:rPr>
        <w:t>/</w:t>
      </w:r>
      <w:r w:rsidRPr="00EF0794">
        <w:rPr>
          <w:color w:val="000000" w:themeColor="text1"/>
          <w:kern w:val="0"/>
          <w:sz w:val="24"/>
        </w:rPr>
        <w:t>行权的归属</w:t>
      </w:r>
      <w:r w:rsidRPr="00EF0794">
        <w:rPr>
          <w:color w:val="000000" w:themeColor="text1"/>
          <w:kern w:val="0"/>
          <w:sz w:val="24"/>
        </w:rPr>
        <w:t>/</w:t>
      </w:r>
      <w:r w:rsidRPr="00EF0794">
        <w:rPr>
          <w:color w:val="000000" w:themeColor="text1"/>
          <w:kern w:val="0"/>
          <w:sz w:val="24"/>
        </w:rPr>
        <w:t>行权条件已成就；本次归属</w:t>
      </w:r>
      <w:r w:rsidRPr="00EF0794">
        <w:rPr>
          <w:color w:val="000000" w:themeColor="text1"/>
          <w:kern w:val="0"/>
          <w:sz w:val="24"/>
        </w:rPr>
        <w:t>/</w:t>
      </w:r>
      <w:r w:rsidRPr="00EF0794">
        <w:rPr>
          <w:color w:val="000000" w:themeColor="text1"/>
          <w:kern w:val="0"/>
          <w:sz w:val="24"/>
        </w:rPr>
        <w:t>行权、本次注销事项及本次作废的原因和数量符合《管理办法》以及《</w:t>
      </w:r>
      <w:r w:rsidRPr="00EF0794">
        <w:rPr>
          <w:color w:val="000000" w:themeColor="text1"/>
          <w:kern w:val="0"/>
          <w:sz w:val="24"/>
        </w:rPr>
        <w:t>2021</w:t>
      </w:r>
      <w:r w:rsidRPr="00EF0794">
        <w:rPr>
          <w:color w:val="000000" w:themeColor="text1"/>
          <w:kern w:val="0"/>
          <w:sz w:val="24"/>
        </w:rPr>
        <w:t>年激励计划</w:t>
      </w:r>
      <w:r w:rsidRPr="00EF0794">
        <w:rPr>
          <w:color w:val="000000" w:themeColor="text1"/>
          <w:kern w:val="0"/>
          <w:sz w:val="24"/>
        </w:rPr>
        <w:t>(</w:t>
      </w:r>
      <w:r w:rsidRPr="00EF0794">
        <w:rPr>
          <w:color w:val="000000" w:themeColor="text1"/>
          <w:kern w:val="0"/>
          <w:sz w:val="24"/>
        </w:rPr>
        <w:t>草案</w:t>
      </w:r>
      <w:r w:rsidRPr="00EF0794">
        <w:rPr>
          <w:color w:val="000000" w:themeColor="text1"/>
          <w:kern w:val="0"/>
          <w:sz w:val="24"/>
        </w:rPr>
        <w:t>)</w:t>
      </w:r>
      <w:r w:rsidRPr="00EF0794">
        <w:rPr>
          <w:color w:val="000000" w:themeColor="text1"/>
          <w:kern w:val="0"/>
          <w:sz w:val="24"/>
        </w:rPr>
        <w:t>》的相关规定。</w:t>
      </w:r>
    </w:p>
    <w:p w14:paraId="36EEE291" w14:textId="77777777" w:rsidR="00D50DE2" w:rsidRPr="00EF0794" w:rsidRDefault="00D50DE2" w:rsidP="00D50DE2">
      <w:pPr>
        <w:spacing w:beforeLines="50" w:before="156" w:afterLines="50" w:after="156" w:line="360" w:lineRule="auto"/>
        <w:ind w:firstLineChars="200" w:firstLine="482"/>
        <w:rPr>
          <w:b/>
          <w:bCs/>
          <w:color w:val="000000" w:themeColor="text1"/>
          <w:kern w:val="0"/>
          <w:sz w:val="24"/>
        </w:rPr>
      </w:pPr>
      <w:r w:rsidRPr="00EF0794">
        <w:rPr>
          <w:b/>
          <w:bCs/>
          <w:color w:val="000000" w:themeColor="text1"/>
          <w:kern w:val="0"/>
          <w:sz w:val="24"/>
        </w:rPr>
        <w:lastRenderedPageBreak/>
        <w:t>（四）独立财务顾问的专业意见</w:t>
      </w:r>
    </w:p>
    <w:p w14:paraId="35EB2C12" w14:textId="05769F29" w:rsidR="00D50DE2" w:rsidRPr="00EF0794" w:rsidRDefault="00D50DE2" w:rsidP="00D50DE2">
      <w:pPr>
        <w:spacing w:beforeLines="50" w:before="156" w:afterLines="50" w:after="156" w:line="360" w:lineRule="auto"/>
        <w:ind w:firstLineChars="200" w:firstLine="480"/>
        <w:rPr>
          <w:color w:val="000000" w:themeColor="text1"/>
          <w:kern w:val="0"/>
          <w:sz w:val="24"/>
        </w:rPr>
      </w:pPr>
      <w:r w:rsidRPr="00EF0794">
        <w:rPr>
          <w:color w:val="000000" w:themeColor="text1"/>
          <w:kern w:val="0"/>
          <w:sz w:val="24"/>
        </w:rPr>
        <w:t>上海荣正企业咨询服务（集团）股份有限公司认为：截至</w:t>
      </w:r>
      <w:proofErr w:type="gramStart"/>
      <w:r w:rsidRPr="00EF0794">
        <w:rPr>
          <w:color w:val="000000" w:themeColor="text1"/>
          <w:kern w:val="0"/>
          <w:sz w:val="24"/>
        </w:rPr>
        <w:t>本独立</w:t>
      </w:r>
      <w:proofErr w:type="gramEnd"/>
      <w:r w:rsidRPr="00EF0794">
        <w:rPr>
          <w:color w:val="000000" w:themeColor="text1"/>
          <w:kern w:val="0"/>
          <w:sz w:val="24"/>
        </w:rPr>
        <w:t>财务顾问报告出具日，公司及可归属</w:t>
      </w:r>
      <w:r w:rsidRPr="00EF0794">
        <w:rPr>
          <w:color w:val="000000" w:themeColor="text1"/>
          <w:kern w:val="0"/>
          <w:sz w:val="24"/>
        </w:rPr>
        <w:t>/</w:t>
      </w:r>
      <w:r w:rsidRPr="00EF0794">
        <w:rPr>
          <w:color w:val="000000" w:themeColor="text1"/>
          <w:kern w:val="0"/>
          <w:sz w:val="24"/>
        </w:rPr>
        <w:t>行权的激励对象均符合公司《激励计划》规定的归属</w:t>
      </w:r>
      <w:r w:rsidRPr="00EF0794">
        <w:rPr>
          <w:color w:val="000000" w:themeColor="text1"/>
          <w:kern w:val="0"/>
          <w:sz w:val="24"/>
        </w:rPr>
        <w:t>/</w:t>
      </w:r>
      <w:r w:rsidRPr="00EF0794">
        <w:rPr>
          <w:color w:val="000000" w:themeColor="text1"/>
          <w:kern w:val="0"/>
          <w:sz w:val="24"/>
        </w:rPr>
        <w:t>行权所必须满足的条件，本次归属</w:t>
      </w:r>
      <w:r w:rsidRPr="00EF0794">
        <w:rPr>
          <w:color w:val="000000" w:themeColor="text1"/>
          <w:kern w:val="0"/>
          <w:sz w:val="24"/>
        </w:rPr>
        <w:t>/</w:t>
      </w:r>
      <w:r w:rsidRPr="00EF0794">
        <w:rPr>
          <w:color w:val="000000" w:themeColor="text1"/>
          <w:kern w:val="0"/>
          <w:sz w:val="24"/>
        </w:rPr>
        <w:t>行权已取得必要的批准和授权，符合相关法律、法规和规范性文件的规定，不存在损害上市公司及全体股东利益的情形。公司限制性股票的归属及股票期权的行权尚需按照《管理办法》等相关规定在规定期限内进行信息披露和深圳证券交易所办理相应后续手续。</w:t>
      </w:r>
    </w:p>
    <w:p w14:paraId="3F0C95FD" w14:textId="2E54F20F" w:rsidR="00D16995" w:rsidRPr="00EF0794" w:rsidRDefault="00A4319F" w:rsidP="00411EF3">
      <w:pPr>
        <w:spacing w:beforeLines="50" w:before="156" w:afterLines="50" w:after="156" w:line="360" w:lineRule="auto"/>
        <w:ind w:firstLineChars="200" w:firstLine="482"/>
        <w:rPr>
          <w:b/>
          <w:bCs/>
          <w:sz w:val="24"/>
        </w:rPr>
      </w:pPr>
      <w:r w:rsidRPr="00EF0794">
        <w:rPr>
          <w:b/>
          <w:bCs/>
          <w:sz w:val="24"/>
        </w:rPr>
        <w:t>八</w:t>
      </w:r>
      <w:r w:rsidR="00D16995" w:rsidRPr="00EF0794">
        <w:rPr>
          <w:b/>
          <w:bCs/>
          <w:sz w:val="24"/>
        </w:rPr>
        <w:t>、本次股票期权行权的实施对公司的影响</w:t>
      </w:r>
    </w:p>
    <w:p w14:paraId="5A6D4619" w14:textId="77777777" w:rsidR="0076233B" w:rsidRPr="00EF0794" w:rsidRDefault="0076233B" w:rsidP="0076233B">
      <w:pPr>
        <w:spacing w:beforeLines="50" w:before="156" w:afterLines="50" w:after="156" w:line="360" w:lineRule="auto"/>
        <w:ind w:firstLineChars="200" w:firstLine="480"/>
        <w:rPr>
          <w:sz w:val="24"/>
        </w:rPr>
      </w:pPr>
      <w:r w:rsidRPr="00EF0794">
        <w:rPr>
          <w:sz w:val="24"/>
        </w:rPr>
        <w:t>1</w:t>
      </w:r>
      <w:r w:rsidRPr="00EF0794">
        <w:rPr>
          <w:sz w:val="24"/>
        </w:rPr>
        <w:t>、对公司相关财务状况和经营成果的影响</w:t>
      </w:r>
    </w:p>
    <w:p w14:paraId="2D272199" w14:textId="77777777" w:rsidR="0076233B" w:rsidRPr="00EF0794" w:rsidRDefault="0076233B" w:rsidP="0076233B">
      <w:pPr>
        <w:spacing w:beforeLines="50" w:before="156" w:afterLines="50" w:after="156" w:line="360" w:lineRule="auto"/>
        <w:ind w:firstLineChars="200" w:firstLine="480"/>
        <w:rPr>
          <w:sz w:val="24"/>
        </w:rPr>
      </w:pPr>
      <w:r w:rsidRPr="00EF0794">
        <w:rPr>
          <w:sz w:val="24"/>
        </w:rPr>
        <w:t>本次行权对公司股权结构不产生重大影响，本次行权期结束后，公司股份分布仍具备上市条件。</w:t>
      </w:r>
    </w:p>
    <w:p w14:paraId="5140AF5E" w14:textId="77777777" w:rsidR="0076233B" w:rsidRPr="00EF0794" w:rsidRDefault="0076233B" w:rsidP="0076233B">
      <w:pPr>
        <w:spacing w:beforeLines="50" w:before="156" w:afterLines="50" w:after="156" w:line="360" w:lineRule="auto"/>
        <w:ind w:firstLineChars="200" w:firstLine="480"/>
        <w:rPr>
          <w:sz w:val="24"/>
        </w:rPr>
      </w:pPr>
      <w:r w:rsidRPr="00EF0794">
        <w:rPr>
          <w:sz w:val="24"/>
        </w:rPr>
        <w:t>本次行权相关股票期权费用已根据有关会计准则和会计制度的规定，在等待期内摊销，并计入相关成本或费用，相应增加资本公积。根据公司激励计划，假设本次实际可行权的股票期权全部行权，公司总股本将由</w:t>
      </w:r>
      <w:r w:rsidRPr="00EF0794">
        <w:rPr>
          <w:sz w:val="24"/>
        </w:rPr>
        <w:t>2,440,471,007</w:t>
      </w:r>
      <w:r w:rsidRPr="00EF0794">
        <w:rPr>
          <w:sz w:val="24"/>
        </w:rPr>
        <w:t>股增加至</w:t>
      </w:r>
      <w:r w:rsidRPr="00EF0794">
        <w:rPr>
          <w:sz w:val="24"/>
        </w:rPr>
        <w:t>2,440,939,117</w:t>
      </w:r>
      <w:r w:rsidRPr="00EF0794">
        <w:rPr>
          <w:sz w:val="24"/>
        </w:rPr>
        <w:t>股，对公司基本每股收益及净资产收益率影响较小，具体影响以经会计师事务所审计的数据为准。</w:t>
      </w:r>
    </w:p>
    <w:p w14:paraId="3994793F" w14:textId="77777777" w:rsidR="0076233B" w:rsidRPr="00EF0794" w:rsidRDefault="0076233B" w:rsidP="0076233B">
      <w:pPr>
        <w:spacing w:beforeLines="50" w:before="156" w:afterLines="50" w:after="156" w:line="360" w:lineRule="auto"/>
        <w:ind w:firstLineChars="200" w:firstLine="480"/>
        <w:rPr>
          <w:sz w:val="24"/>
        </w:rPr>
      </w:pPr>
      <w:r w:rsidRPr="00EF0794">
        <w:rPr>
          <w:sz w:val="24"/>
        </w:rPr>
        <w:t>2</w:t>
      </w:r>
      <w:r w:rsidRPr="00EF0794">
        <w:rPr>
          <w:sz w:val="24"/>
        </w:rPr>
        <w:t>、选择自主行权模式对激励股票期权定价及会计核算影响及变化的说明</w:t>
      </w:r>
    </w:p>
    <w:p w14:paraId="0FFC4666" w14:textId="77777777" w:rsidR="0076233B" w:rsidRPr="00EF0794" w:rsidRDefault="0076233B" w:rsidP="0076233B">
      <w:pPr>
        <w:spacing w:beforeLines="50" w:before="156" w:afterLines="50" w:after="156" w:line="360" w:lineRule="auto"/>
        <w:ind w:firstLineChars="200" w:firstLine="480"/>
        <w:rPr>
          <w:sz w:val="24"/>
        </w:rPr>
      </w:pPr>
      <w:r w:rsidRPr="00EF0794">
        <w:rPr>
          <w:sz w:val="24"/>
        </w:rPr>
        <w:t>公司在授权</w:t>
      </w:r>
      <w:proofErr w:type="gramStart"/>
      <w:r w:rsidRPr="00EF0794">
        <w:rPr>
          <w:sz w:val="24"/>
        </w:rPr>
        <w:t>日采用</w:t>
      </w:r>
      <w:proofErr w:type="gramEnd"/>
      <w:r w:rsidRPr="00EF0794">
        <w:rPr>
          <w:sz w:val="24"/>
        </w:rPr>
        <w:t>Black-Scholes</w:t>
      </w:r>
      <w:r w:rsidRPr="00EF0794">
        <w:rPr>
          <w:sz w:val="24"/>
        </w:rPr>
        <w:t>模型确定股票期权在授权日的公允价值，根据股票期权的会计处理方法，在授权日后，不需要对股票期权进行重新估值，</w:t>
      </w:r>
      <w:proofErr w:type="gramStart"/>
      <w:r w:rsidRPr="00EF0794">
        <w:rPr>
          <w:sz w:val="24"/>
        </w:rPr>
        <w:t>即行权</w:t>
      </w:r>
      <w:proofErr w:type="gramEnd"/>
      <w:r w:rsidRPr="00EF0794">
        <w:rPr>
          <w:sz w:val="24"/>
        </w:rPr>
        <w:t>模式的选择不会对股票期权的定价造成影响。在等待期内，公司已经根据股票期权在授权日的公允价值，将当期取得的服务计入相关成本或费用和资本公积。在行权日，如果达到行权条件，可以行权，结转行权日前每个资产负债表日确认的</w:t>
      </w:r>
      <w:r w:rsidRPr="00EF0794">
        <w:rPr>
          <w:sz w:val="24"/>
        </w:rPr>
        <w:t>“</w:t>
      </w:r>
      <w:r w:rsidRPr="00EF0794">
        <w:rPr>
          <w:sz w:val="24"/>
        </w:rPr>
        <w:t>资本公积</w:t>
      </w:r>
      <w:r w:rsidRPr="00EF0794">
        <w:rPr>
          <w:sz w:val="24"/>
        </w:rPr>
        <w:t>-</w:t>
      </w:r>
      <w:r w:rsidRPr="00EF0794">
        <w:rPr>
          <w:sz w:val="24"/>
        </w:rPr>
        <w:t>其他资本公积</w:t>
      </w:r>
      <w:r w:rsidRPr="00EF0794">
        <w:rPr>
          <w:sz w:val="24"/>
        </w:rPr>
        <w:t>”</w:t>
      </w:r>
      <w:r w:rsidRPr="00EF0794">
        <w:rPr>
          <w:sz w:val="24"/>
        </w:rPr>
        <w:t>；如果全部或部分股票未被行权而失效或作废，则由公司进行注销，并减少所有者权益，在可行权日之后不再对已确认的相关成本或费用和所有者权益总额进行调整。行权模式的选择不会对上述会计处理造成影响。因此股票期权选择自主行权模式不会对股票期权的定价及会计核算造成实质性影响。</w:t>
      </w:r>
    </w:p>
    <w:p w14:paraId="79ED2693" w14:textId="1A489C2B" w:rsidR="00AC14F6" w:rsidRPr="00EF0794" w:rsidRDefault="00A4319F" w:rsidP="00A47122">
      <w:pPr>
        <w:spacing w:beforeLines="50" w:before="156" w:afterLines="50" w:after="156" w:line="360" w:lineRule="auto"/>
        <w:ind w:firstLineChars="200" w:firstLine="482"/>
        <w:rPr>
          <w:b/>
          <w:bCs/>
          <w:sz w:val="24"/>
        </w:rPr>
      </w:pPr>
      <w:r w:rsidRPr="00EF0794">
        <w:rPr>
          <w:b/>
          <w:bCs/>
          <w:sz w:val="24"/>
        </w:rPr>
        <w:lastRenderedPageBreak/>
        <w:t>九</w:t>
      </w:r>
      <w:r w:rsidR="00A47122" w:rsidRPr="00EF0794">
        <w:rPr>
          <w:b/>
          <w:bCs/>
          <w:sz w:val="24"/>
        </w:rPr>
        <w:t>、</w:t>
      </w:r>
      <w:r w:rsidR="00703553" w:rsidRPr="00EF0794">
        <w:rPr>
          <w:b/>
          <w:bCs/>
          <w:sz w:val="24"/>
        </w:rPr>
        <w:t>备查文件</w:t>
      </w:r>
    </w:p>
    <w:p w14:paraId="1E3A7CF0" w14:textId="6A069627" w:rsidR="00857BFB" w:rsidRPr="00EF0794" w:rsidRDefault="00857BFB" w:rsidP="00857BFB">
      <w:pPr>
        <w:autoSpaceDE w:val="0"/>
        <w:autoSpaceDN w:val="0"/>
        <w:spacing w:beforeLines="50" w:before="156" w:line="360" w:lineRule="auto"/>
        <w:ind w:firstLineChars="200" w:firstLine="480"/>
        <w:rPr>
          <w:kern w:val="0"/>
          <w:sz w:val="24"/>
        </w:rPr>
      </w:pPr>
      <w:r w:rsidRPr="00EF0794">
        <w:rPr>
          <w:kern w:val="0"/>
          <w:sz w:val="24"/>
        </w:rPr>
        <w:t>1</w:t>
      </w:r>
      <w:r w:rsidRPr="00EF0794">
        <w:rPr>
          <w:kern w:val="0"/>
          <w:sz w:val="24"/>
        </w:rPr>
        <w:t>、公司第</w:t>
      </w:r>
      <w:r w:rsidR="00C7442E" w:rsidRPr="00EF0794">
        <w:rPr>
          <w:kern w:val="0"/>
          <w:sz w:val="24"/>
        </w:rPr>
        <w:t>三</w:t>
      </w:r>
      <w:r w:rsidRPr="00EF0794">
        <w:rPr>
          <w:kern w:val="0"/>
          <w:sz w:val="24"/>
        </w:rPr>
        <w:t>届董事会第</w:t>
      </w:r>
      <w:r w:rsidR="00C7442E" w:rsidRPr="00EF0794">
        <w:rPr>
          <w:kern w:val="0"/>
          <w:sz w:val="24"/>
        </w:rPr>
        <w:t>十四</w:t>
      </w:r>
      <w:r w:rsidRPr="00EF0794">
        <w:rPr>
          <w:kern w:val="0"/>
          <w:sz w:val="24"/>
        </w:rPr>
        <w:t>次会议决议</w:t>
      </w:r>
    </w:p>
    <w:p w14:paraId="23B25BFB" w14:textId="19BB4E21" w:rsidR="00857BFB" w:rsidRPr="00EF0794" w:rsidRDefault="00857BFB" w:rsidP="002B3972">
      <w:pPr>
        <w:autoSpaceDE w:val="0"/>
        <w:autoSpaceDN w:val="0"/>
        <w:spacing w:beforeLines="50" w:before="156" w:line="360" w:lineRule="auto"/>
        <w:ind w:firstLineChars="200" w:firstLine="480"/>
        <w:rPr>
          <w:kern w:val="0"/>
          <w:sz w:val="24"/>
        </w:rPr>
      </w:pPr>
      <w:r w:rsidRPr="00EF0794">
        <w:rPr>
          <w:kern w:val="0"/>
          <w:sz w:val="24"/>
        </w:rPr>
        <w:t>2</w:t>
      </w:r>
      <w:r w:rsidRPr="00EF0794">
        <w:rPr>
          <w:kern w:val="0"/>
          <w:sz w:val="24"/>
        </w:rPr>
        <w:t>、独立董事关于公司第</w:t>
      </w:r>
      <w:r w:rsidR="00C7442E" w:rsidRPr="00EF0794">
        <w:rPr>
          <w:kern w:val="0"/>
          <w:sz w:val="24"/>
        </w:rPr>
        <w:t>三</w:t>
      </w:r>
      <w:r w:rsidRPr="00EF0794">
        <w:rPr>
          <w:kern w:val="0"/>
          <w:sz w:val="24"/>
        </w:rPr>
        <w:t>届董事会第</w:t>
      </w:r>
      <w:r w:rsidR="00C7442E" w:rsidRPr="00EF0794">
        <w:rPr>
          <w:kern w:val="0"/>
          <w:sz w:val="24"/>
        </w:rPr>
        <w:t>十四</w:t>
      </w:r>
      <w:r w:rsidRPr="00EF0794">
        <w:rPr>
          <w:kern w:val="0"/>
          <w:sz w:val="24"/>
        </w:rPr>
        <w:t>次会议相关事项的独立意见</w:t>
      </w:r>
    </w:p>
    <w:p w14:paraId="0DE7349B" w14:textId="41B11A69" w:rsidR="002B3972" w:rsidRPr="00EF0794" w:rsidRDefault="002B3972" w:rsidP="002B3972">
      <w:pPr>
        <w:autoSpaceDE w:val="0"/>
        <w:autoSpaceDN w:val="0"/>
        <w:spacing w:beforeLines="50" w:before="156" w:line="360" w:lineRule="auto"/>
        <w:ind w:firstLineChars="200" w:firstLine="480"/>
        <w:rPr>
          <w:kern w:val="0"/>
          <w:sz w:val="24"/>
        </w:rPr>
      </w:pPr>
      <w:r w:rsidRPr="00EF0794">
        <w:rPr>
          <w:kern w:val="0"/>
          <w:sz w:val="24"/>
        </w:rPr>
        <w:t>3</w:t>
      </w:r>
      <w:r w:rsidRPr="00EF0794">
        <w:rPr>
          <w:kern w:val="0"/>
          <w:sz w:val="24"/>
        </w:rPr>
        <w:t>、公司第三届监事会第十次会议决议</w:t>
      </w:r>
    </w:p>
    <w:p w14:paraId="572DFD5F" w14:textId="3C723ED1" w:rsidR="00511CCF" w:rsidRPr="00EF0794" w:rsidRDefault="00511CCF" w:rsidP="00511CCF">
      <w:pPr>
        <w:autoSpaceDE w:val="0"/>
        <w:autoSpaceDN w:val="0"/>
        <w:spacing w:beforeLines="50" w:before="156" w:line="360" w:lineRule="auto"/>
        <w:ind w:firstLineChars="200" w:firstLine="480"/>
        <w:rPr>
          <w:kern w:val="0"/>
          <w:sz w:val="24"/>
        </w:rPr>
      </w:pPr>
      <w:r w:rsidRPr="00EF0794">
        <w:rPr>
          <w:kern w:val="0"/>
          <w:sz w:val="24"/>
        </w:rPr>
        <w:t>4</w:t>
      </w:r>
      <w:r w:rsidRPr="00EF0794">
        <w:rPr>
          <w:kern w:val="0"/>
          <w:sz w:val="24"/>
        </w:rPr>
        <w:t>、</w:t>
      </w:r>
      <w:bookmarkStart w:id="15" w:name="_Hlk116586041"/>
      <w:r w:rsidRPr="00EF0794">
        <w:rPr>
          <w:kern w:val="0"/>
          <w:sz w:val="24"/>
        </w:rPr>
        <w:t>上海通力律师事务所</w:t>
      </w:r>
      <w:r w:rsidR="00D64291" w:rsidRPr="00EF0794">
        <w:rPr>
          <w:kern w:val="0"/>
          <w:sz w:val="24"/>
        </w:rPr>
        <w:t>出具的</w:t>
      </w:r>
      <w:bookmarkEnd w:id="15"/>
      <w:r w:rsidR="00B80761" w:rsidRPr="00EF0794">
        <w:rPr>
          <w:kern w:val="0"/>
          <w:sz w:val="24"/>
        </w:rPr>
        <w:t>《关于宁德时代新能源科技股份有限公司</w:t>
      </w:r>
      <w:r w:rsidR="00B80761" w:rsidRPr="00EF0794">
        <w:rPr>
          <w:kern w:val="0"/>
          <w:sz w:val="24"/>
        </w:rPr>
        <w:t>2021</w:t>
      </w:r>
      <w:r w:rsidR="00B80761" w:rsidRPr="00EF0794">
        <w:rPr>
          <w:kern w:val="0"/>
          <w:sz w:val="24"/>
        </w:rPr>
        <w:t>年股票期权与限制性股票激励计划第一个归属期</w:t>
      </w:r>
      <w:r w:rsidR="00B80761" w:rsidRPr="00EF0794">
        <w:rPr>
          <w:kern w:val="0"/>
          <w:sz w:val="24"/>
        </w:rPr>
        <w:t>/</w:t>
      </w:r>
      <w:r w:rsidR="00B80761" w:rsidRPr="00EF0794">
        <w:rPr>
          <w:kern w:val="0"/>
          <w:sz w:val="24"/>
        </w:rPr>
        <w:t>行权期条件成就、注销部分已获授但尚未行权的股票期权及作废部分已授予尚未归属的限制性股票的法律意见书》</w:t>
      </w:r>
    </w:p>
    <w:p w14:paraId="3411CF89" w14:textId="3B5A6D88" w:rsidR="00D50DE2" w:rsidRPr="00EF0794" w:rsidRDefault="00D50DE2" w:rsidP="00511CCF">
      <w:pPr>
        <w:autoSpaceDE w:val="0"/>
        <w:autoSpaceDN w:val="0"/>
        <w:spacing w:beforeLines="50" w:before="156" w:line="360" w:lineRule="auto"/>
        <w:ind w:firstLineChars="200" w:firstLine="480"/>
        <w:rPr>
          <w:kern w:val="0"/>
          <w:sz w:val="24"/>
        </w:rPr>
      </w:pPr>
      <w:r w:rsidRPr="00EF0794">
        <w:rPr>
          <w:kern w:val="0"/>
          <w:sz w:val="24"/>
        </w:rPr>
        <w:t>5</w:t>
      </w:r>
      <w:r w:rsidRPr="00EF0794">
        <w:rPr>
          <w:kern w:val="0"/>
          <w:sz w:val="24"/>
        </w:rPr>
        <w:t>、上海荣正企业咨询服务（集团）股份有限公司</w:t>
      </w:r>
      <w:r w:rsidR="00D64291" w:rsidRPr="00EF0794">
        <w:rPr>
          <w:kern w:val="0"/>
          <w:sz w:val="24"/>
        </w:rPr>
        <w:t>出具的《</w:t>
      </w:r>
      <w:r w:rsidRPr="00EF0794">
        <w:rPr>
          <w:kern w:val="0"/>
          <w:sz w:val="24"/>
        </w:rPr>
        <w:t>关于宁德时代新能源科技股份有限公司</w:t>
      </w:r>
      <w:r w:rsidRPr="00EF0794">
        <w:rPr>
          <w:kern w:val="0"/>
          <w:sz w:val="24"/>
        </w:rPr>
        <w:t>2021</w:t>
      </w:r>
      <w:r w:rsidRPr="00EF0794">
        <w:rPr>
          <w:kern w:val="0"/>
          <w:sz w:val="24"/>
        </w:rPr>
        <w:t>年股票期权与限制性股票激励计划首次及预留授予第一个归属期归属条件成就及第一个行权期行权条件成就之独立财务顾问报告</w:t>
      </w:r>
      <w:r w:rsidR="00D64291" w:rsidRPr="00EF0794">
        <w:rPr>
          <w:kern w:val="0"/>
          <w:sz w:val="24"/>
        </w:rPr>
        <w:t>》</w:t>
      </w:r>
    </w:p>
    <w:p w14:paraId="3CD40CFF" w14:textId="14EE2218" w:rsidR="00683BB2" w:rsidRPr="00EF0794" w:rsidRDefault="00683BB2" w:rsidP="00683BB2">
      <w:pPr>
        <w:spacing w:beforeLines="50" w:before="156" w:afterLines="50" w:after="156" w:line="360" w:lineRule="auto"/>
        <w:ind w:firstLineChars="200" w:firstLine="480"/>
        <w:rPr>
          <w:sz w:val="24"/>
        </w:rPr>
      </w:pPr>
      <w:r w:rsidRPr="00EF0794">
        <w:rPr>
          <w:sz w:val="24"/>
        </w:rPr>
        <w:t>特此公告。</w:t>
      </w:r>
    </w:p>
    <w:p w14:paraId="2C9EF45F" w14:textId="77777777" w:rsidR="00857BFB" w:rsidRPr="00EF0794" w:rsidRDefault="00857BFB" w:rsidP="00857BFB">
      <w:pPr>
        <w:autoSpaceDE w:val="0"/>
        <w:autoSpaceDN w:val="0"/>
        <w:spacing w:beforeLines="50" w:before="156" w:line="360" w:lineRule="auto"/>
        <w:ind w:firstLineChars="200" w:firstLine="480"/>
        <w:jc w:val="right"/>
        <w:rPr>
          <w:kern w:val="0"/>
          <w:sz w:val="24"/>
        </w:rPr>
      </w:pPr>
      <w:r w:rsidRPr="00EF0794">
        <w:rPr>
          <w:kern w:val="0"/>
          <w:sz w:val="24"/>
        </w:rPr>
        <w:t>宁德时代新能源科技股份有限公司董事会</w:t>
      </w:r>
    </w:p>
    <w:p w14:paraId="6911B900" w14:textId="3ED14C4B" w:rsidR="00857BFB" w:rsidRPr="00EF0794" w:rsidRDefault="00857BFB" w:rsidP="00857BFB">
      <w:pPr>
        <w:autoSpaceDE w:val="0"/>
        <w:autoSpaceDN w:val="0"/>
        <w:spacing w:beforeLines="50" w:before="156" w:line="360" w:lineRule="auto"/>
        <w:ind w:firstLineChars="200" w:firstLine="480"/>
        <w:jc w:val="right"/>
        <w:rPr>
          <w:kern w:val="0"/>
          <w:sz w:val="24"/>
        </w:rPr>
      </w:pPr>
      <w:r w:rsidRPr="00EF0794">
        <w:rPr>
          <w:kern w:val="0"/>
          <w:sz w:val="24"/>
        </w:rPr>
        <w:t>202</w:t>
      </w:r>
      <w:r w:rsidR="00C7442E" w:rsidRPr="00EF0794">
        <w:rPr>
          <w:kern w:val="0"/>
          <w:sz w:val="24"/>
        </w:rPr>
        <w:t>2</w:t>
      </w:r>
      <w:r w:rsidRPr="00EF0794">
        <w:rPr>
          <w:kern w:val="0"/>
          <w:sz w:val="24"/>
        </w:rPr>
        <w:t>年</w:t>
      </w:r>
      <w:r w:rsidRPr="00EF0794">
        <w:rPr>
          <w:kern w:val="0"/>
          <w:sz w:val="24"/>
        </w:rPr>
        <w:t>10</w:t>
      </w:r>
      <w:r w:rsidRPr="00EF0794">
        <w:rPr>
          <w:kern w:val="0"/>
          <w:sz w:val="24"/>
        </w:rPr>
        <w:t>月</w:t>
      </w:r>
      <w:r w:rsidR="0076233B" w:rsidRPr="00EF0794">
        <w:rPr>
          <w:kern w:val="0"/>
          <w:sz w:val="24"/>
        </w:rPr>
        <w:t>21</w:t>
      </w:r>
      <w:r w:rsidRPr="00EF0794">
        <w:rPr>
          <w:kern w:val="0"/>
          <w:sz w:val="24"/>
        </w:rPr>
        <w:t>日</w:t>
      </w:r>
    </w:p>
    <w:sectPr w:rsidR="00857BFB" w:rsidRPr="00EF079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D7877" w14:textId="77777777" w:rsidR="006A7937" w:rsidRDefault="006A7937" w:rsidP="00683BB2">
      <w:r>
        <w:separator/>
      </w:r>
    </w:p>
  </w:endnote>
  <w:endnote w:type="continuationSeparator" w:id="0">
    <w:p w14:paraId="0BDE174A" w14:textId="77777777" w:rsidR="006A7937" w:rsidRDefault="006A7937" w:rsidP="00683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7681333"/>
      <w:docPartObj>
        <w:docPartGallery w:val="Page Numbers (Bottom of Page)"/>
        <w:docPartUnique/>
      </w:docPartObj>
    </w:sdtPr>
    <w:sdtEndPr/>
    <w:sdtContent>
      <w:p w14:paraId="3FE286FC" w14:textId="1137927D" w:rsidR="00132D57" w:rsidRDefault="00132D57" w:rsidP="00632629">
        <w:pPr>
          <w:pStyle w:val="a5"/>
          <w:jc w:val="center"/>
        </w:pPr>
        <w:r>
          <w:fldChar w:fldCharType="begin"/>
        </w:r>
        <w:r>
          <w:instrText>PAGE   \* MERGEFORMAT</w:instrText>
        </w:r>
        <w:r>
          <w:fldChar w:fldCharType="separate"/>
        </w:r>
        <w:r w:rsidR="00462A6A" w:rsidRPr="00462A6A">
          <w:rPr>
            <w:noProof/>
            <w:lang w:val="zh-CN"/>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57740" w14:textId="77777777" w:rsidR="006A7937" w:rsidRDefault="006A7937" w:rsidP="00683BB2">
      <w:r>
        <w:separator/>
      </w:r>
    </w:p>
  </w:footnote>
  <w:footnote w:type="continuationSeparator" w:id="0">
    <w:p w14:paraId="08146F68" w14:textId="77777777" w:rsidR="006A7937" w:rsidRDefault="006A7937" w:rsidP="00683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58D2"/>
    <w:multiLevelType w:val="hybridMultilevel"/>
    <w:tmpl w:val="81FE7E9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268E496E"/>
    <w:multiLevelType w:val="hybridMultilevel"/>
    <w:tmpl w:val="BF3635C4"/>
    <w:lvl w:ilvl="0" w:tplc="09CC4198">
      <w:start w:val="1"/>
      <w:numFmt w:val="japaneseCounting"/>
      <w:lvlText w:val="（%1）"/>
      <w:lvlJc w:val="left"/>
      <w:pPr>
        <w:ind w:left="720" w:hanging="720"/>
      </w:pPr>
      <w:rPr>
        <w:rFonts w:ascii="宋体" w:hAnsi="宋体" w:cs="Times New Roma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6C132D"/>
    <w:multiLevelType w:val="hybridMultilevel"/>
    <w:tmpl w:val="7D549D8A"/>
    <w:lvl w:ilvl="0" w:tplc="EFA2A97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3FBE159C"/>
    <w:multiLevelType w:val="hybridMultilevel"/>
    <w:tmpl w:val="4E4AD8D0"/>
    <w:lvl w:ilvl="0" w:tplc="95A2E978">
      <w:start w:val="1"/>
      <w:numFmt w:val="decimalEnclosedCircle"/>
      <w:lvlText w:val="%1"/>
      <w:lvlJc w:val="left"/>
      <w:pPr>
        <w:ind w:left="780" w:hanging="360"/>
      </w:pPr>
      <w:rPr>
        <w:rFonts w:ascii="宋体" w:hAnsi="宋体"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47653374"/>
    <w:multiLevelType w:val="hybridMultilevel"/>
    <w:tmpl w:val="DB4A3300"/>
    <w:lvl w:ilvl="0" w:tplc="C0AC0BE6">
      <w:start w:val="1"/>
      <w:numFmt w:val="decimal"/>
      <w:lvlText w:val="%1、"/>
      <w:lvlJc w:val="left"/>
      <w:pPr>
        <w:ind w:left="400" w:hanging="400"/>
      </w:pPr>
      <w:rPr>
        <w:rFonts w:ascii="Courier New" w:hAnsi="Courier New"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7901C65"/>
    <w:multiLevelType w:val="hybridMultilevel"/>
    <w:tmpl w:val="FA484AFC"/>
    <w:lvl w:ilvl="0" w:tplc="012EAE86">
      <w:start w:val="1"/>
      <w:numFmt w:val="japaneseCounting"/>
      <w:lvlText w:val="（%1）"/>
      <w:lvlJc w:val="left"/>
      <w:pPr>
        <w:ind w:left="1200" w:hanging="7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726"/>
    <w:rsid w:val="000038FC"/>
    <w:rsid w:val="000071FF"/>
    <w:rsid w:val="000114CC"/>
    <w:rsid w:val="00012822"/>
    <w:rsid w:val="000177FD"/>
    <w:rsid w:val="000238A8"/>
    <w:rsid w:val="00023E72"/>
    <w:rsid w:val="00026C5A"/>
    <w:rsid w:val="00033EFF"/>
    <w:rsid w:val="0004416C"/>
    <w:rsid w:val="000450AE"/>
    <w:rsid w:val="0007282A"/>
    <w:rsid w:val="00087FA6"/>
    <w:rsid w:val="00091597"/>
    <w:rsid w:val="000A1085"/>
    <w:rsid w:val="000A5285"/>
    <w:rsid w:val="000A6B9C"/>
    <w:rsid w:val="000C74A7"/>
    <w:rsid w:val="000E2F80"/>
    <w:rsid w:val="000E3A5E"/>
    <w:rsid w:val="0010128F"/>
    <w:rsid w:val="00101613"/>
    <w:rsid w:val="00104C12"/>
    <w:rsid w:val="00114FA7"/>
    <w:rsid w:val="001232F1"/>
    <w:rsid w:val="00123E8F"/>
    <w:rsid w:val="00132D57"/>
    <w:rsid w:val="001337DF"/>
    <w:rsid w:val="00146470"/>
    <w:rsid w:val="001469DE"/>
    <w:rsid w:val="00173096"/>
    <w:rsid w:val="00173CFA"/>
    <w:rsid w:val="001805C5"/>
    <w:rsid w:val="001815B3"/>
    <w:rsid w:val="001943E2"/>
    <w:rsid w:val="0019526B"/>
    <w:rsid w:val="001960B6"/>
    <w:rsid w:val="001A3BAD"/>
    <w:rsid w:val="001B071E"/>
    <w:rsid w:val="001B0CA9"/>
    <w:rsid w:val="001B25DD"/>
    <w:rsid w:val="001B73B1"/>
    <w:rsid w:val="001C11EB"/>
    <w:rsid w:val="001C3F38"/>
    <w:rsid w:val="001D4F59"/>
    <w:rsid w:val="001D535C"/>
    <w:rsid w:val="001D70C2"/>
    <w:rsid w:val="001D7AF9"/>
    <w:rsid w:val="001E4547"/>
    <w:rsid w:val="001E5671"/>
    <w:rsid w:val="001E6C69"/>
    <w:rsid w:val="002028A9"/>
    <w:rsid w:val="0020662C"/>
    <w:rsid w:val="00213FAC"/>
    <w:rsid w:val="0022637B"/>
    <w:rsid w:val="00230874"/>
    <w:rsid w:val="00233AA7"/>
    <w:rsid w:val="00237449"/>
    <w:rsid w:val="0024297A"/>
    <w:rsid w:val="00243FCC"/>
    <w:rsid w:val="00255163"/>
    <w:rsid w:val="00261833"/>
    <w:rsid w:val="002708BE"/>
    <w:rsid w:val="00271E4C"/>
    <w:rsid w:val="00273395"/>
    <w:rsid w:val="00275079"/>
    <w:rsid w:val="0028218C"/>
    <w:rsid w:val="002833A0"/>
    <w:rsid w:val="0028418D"/>
    <w:rsid w:val="00286AD4"/>
    <w:rsid w:val="002978CE"/>
    <w:rsid w:val="002B3972"/>
    <w:rsid w:val="002C50E8"/>
    <w:rsid w:val="002D7A3B"/>
    <w:rsid w:val="002E6877"/>
    <w:rsid w:val="002F5162"/>
    <w:rsid w:val="00313480"/>
    <w:rsid w:val="00314A20"/>
    <w:rsid w:val="00314CB2"/>
    <w:rsid w:val="003204B5"/>
    <w:rsid w:val="003261C2"/>
    <w:rsid w:val="0033208E"/>
    <w:rsid w:val="003524A7"/>
    <w:rsid w:val="00356A9A"/>
    <w:rsid w:val="0037533C"/>
    <w:rsid w:val="00376485"/>
    <w:rsid w:val="003875A1"/>
    <w:rsid w:val="00387AAA"/>
    <w:rsid w:val="00390748"/>
    <w:rsid w:val="00397FE0"/>
    <w:rsid w:val="003B0946"/>
    <w:rsid w:val="003B09FE"/>
    <w:rsid w:val="003B2AD7"/>
    <w:rsid w:val="003E389D"/>
    <w:rsid w:val="003F5643"/>
    <w:rsid w:val="003F689D"/>
    <w:rsid w:val="00411EF3"/>
    <w:rsid w:val="00413677"/>
    <w:rsid w:val="004160EB"/>
    <w:rsid w:val="00417C42"/>
    <w:rsid w:val="004304BC"/>
    <w:rsid w:val="00435EA3"/>
    <w:rsid w:val="004447F5"/>
    <w:rsid w:val="00462A6A"/>
    <w:rsid w:val="0046625E"/>
    <w:rsid w:val="00480E3E"/>
    <w:rsid w:val="004B4484"/>
    <w:rsid w:val="004C085A"/>
    <w:rsid w:val="004C4B6F"/>
    <w:rsid w:val="004D166E"/>
    <w:rsid w:val="004D50C4"/>
    <w:rsid w:val="004E640B"/>
    <w:rsid w:val="005020A5"/>
    <w:rsid w:val="00507C63"/>
    <w:rsid w:val="00511510"/>
    <w:rsid w:val="00511CCF"/>
    <w:rsid w:val="005137B2"/>
    <w:rsid w:val="00522E64"/>
    <w:rsid w:val="00527565"/>
    <w:rsid w:val="00534BEE"/>
    <w:rsid w:val="005377E0"/>
    <w:rsid w:val="005434B9"/>
    <w:rsid w:val="00547474"/>
    <w:rsid w:val="0055023D"/>
    <w:rsid w:val="005536AA"/>
    <w:rsid w:val="0056071F"/>
    <w:rsid w:val="00561CA2"/>
    <w:rsid w:val="0056328F"/>
    <w:rsid w:val="005646C8"/>
    <w:rsid w:val="0057596D"/>
    <w:rsid w:val="00576230"/>
    <w:rsid w:val="005829B4"/>
    <w:rsid w:val="00587253"/>
    <w:rsid w:val="005876B4"/>
    <w:rsid w:val="00594576"/>
    <w:rsid w:val="0059659B"/>
    <w:rsid w:val="005A1EE3"/>
    <w:rsid w:val="005B511B"/>
    <w:rsid w:val="005B588E"/>
    <w:rsid w:val="005D6E9E"/>
    <w:rsid w:val="005D7EA4"/>
    <w:rsid w:val="005E0FC8"/>
    <w:rsid w:val="005E7537"/>
    <w:rsid w:val="005F0703"/>
    <w:rsid w:val="005F0F01"/>
    <w:rsid w:val="005F1726"/>
    <w:rsid w:val="005F4262"/>
    <w:rsid w:val="005F7C5C"/>
    <w:rsid w:val="006017FF"/>
    <w:rsid w:val="006075C3"/>
    <w:rsid w:val="00611E1C"/>
    <w:rsid w:val="00613608"/>
    <w:rsid w:val="00620F79"/>
    <w:rsid w:val="00632629"/>
    <w:rsid w:val="00641EF0"/>
    <w:rsid w:val="00644201"/>
    <w:rsid w:val="006475DD"/>
    <w:rsid w:val="00654884"/>
    <w:rsid w:val="00664FC0"/>
    <w:rsid w:val="00666707"/>
    <w:rsid w:val="00677404"/>
    <w:rsid w:val="00682485"/>
    <w:rsid w:val="00683BB2"/>
    <w:rsid w:val="00683CFF"/>
    <w:rsid w:val="006912C5"/>
    <w:rsid w:val="00693E5A"/>
    <w:rsid w:val="006A22A4"/>
    <w:rsid w:val="006A3828"/>
    <w:rsid w:val="006A7937"/>
    <w:rsid w:val="006B419A"/>
    <w:rsid w:val="006C0B9C"/>
    <w:rsid w:val="006D00D7"/>
    <w:rsid w:val="006D6071"/>
    <w:rsid w:val="006F26A7"/>
    <w:rsid w:val="006F34F0"/>
    <w:rsid w:val="00703553"/>
    <w:rsid w:val="007053B2"/>
    <w:rsid w:val="00706DB7"/>
    <w:rsid w:val="00723796"/>
    <w:rsid w:val="0073114E"/>
    <w:rsid w:val="00736E9C"/>
    <w:rsid w:val="00750CF9"/>
    <w:rsid w:val="00754328"/>
    <w:rsid w:val="007603D9"/>
    <w:rsid w:val="0076233B"/>
    <w:rsid w:val="007632D5"/>
    <w:rsid w:val="0076506E"/>
    <w:rsid w:val="00771D1E"/>
    <w:rsid w:val="00774857"/>
    <w:rsid w:val="007807F2"/>
    <w:rsid w:val="00780F9E"/>
    <w:rsid w:val="0078337F"/>
    <w:rsid w:val="0079372E"/>
    <w:rsid w:val="007B4AC5"/>
    <w:rsid w:val="007C1AA4"/>
    <w:rsid w:val="007C6780"/>
    <w:rsid w:val="007E2615"/>
    <w:rsid w:val="007E56F3"/>
    <w:rsid w:val="007F12F6"/>
    <w:rsid w:val="00804AD1"/>
    <w:rsid w:val="00810ADA"/>
    <w:rsid w:val="00815576"/>
    <w:rsid w:val="008201EE"/>
    <w:rsid w:val="00834027"/>
    <w:rsid w:val="008551DC"/>
    <w:rsid w:val="00857BFB"/>
    <w:rsid w:val="008609CD"/>
    <w:rsid w:val="00862C81"/>
    <w:rsid w:val="0086485C"/>
    <w:rsid w:val="00864BAF"/>
    <w:rsid w:val="0087364C"/>
    <w:rsid w:val="0088395C"/>
    <w:rsid w:val="00883A4B"/>
    <w:rsid w:val="00883AF6"/>
    <w:rsid w:val="0089481D"/>
    <w:rsid w:val="008A1444"/>
    <w:rsid w:val="008A1CDD"/>
    <w:rsid w:val="008A52BD"/>
    <w:rsid w:val="008B6EDC"/>
    <w:rsid w:val="008C0AFF"/>
    <w:rsid w:val="008C41CB"/>
    <w:rsid w:val="008C7581"/>
    <w:rsid w:val="008D1EEF"/>
    <w:rsid w:val="008E1C37"/>
    <w:rsid w:val="008E1EE8"/>
    <w:rsid w:val="008E43D5"/>
    <w:rsid w:val="008F097E"/>
    <w:rsid w:val="008F34D0"/>
    <w:rsid w:val="008F51F8"/>
    <w:rsid w:val="008F656E"/>
    <w:rsid w:val="008F6FC0"/>
    <w:rsid w:val="00901DB5"/>
    <w:rsid w:val="00904A07"/>
    <w:rsid w:val="0090590F"/>
    <w:rsid w:val="00910227"/>
    <w:rsid w:val="00911ADC"/>
    <w:rsid w:val="00912517"/>
    <w:rsid w:val="0092717A"/>
    <w:rsid w:val="00936389"/>
    <w:rsid w:val="0095147D"/>
    <w:rsid w:val="00957435"/>
    <w:rsid w:val="00972E5C"/>
    <w:rsid w:val="00984416"/>
    <w:rsid w:val="009922A7"/>
    <w:rsid w:val="00993D26"/>
    <w:rsid w:val="009B05F7"/>
    <w:rsid w:val="009C3E56"/>
    <w:rsid w:val="009D599B"/>
    <w:rsid w:val="009E340F"/>
    <w:rsid w:val="009F13D5"/>
    <w:rsid w:val="009F28F5"/>
    <w:rsid w:val="00A059F7"/>
    <w:rsid w:val="00A11054"/>
    <w:rsid w:val="00A24EF2"/>
    <w:rsid w:val="00A2728E"/>
    <w:rsid w:val="00A36615"/>
    <w:rsid w:val="00A42C1D"/>
    <w:rsid w:val="00A4319F"/>
    <w:rsid w:val="00A47122"/>
    <w:rsid w:val="00A4769A"/>
    <w:rsid w:val="00A546E4"/>
    <w:rsid w:val="00A60843"/>
    <w:rsid w:val="00A67451"/>
    <w:rsid w:val="00A73954"/>
    <w:rsid w:val="00A77E6C"/>
    <w:rsid w:val="00A81476"/>
    <w:rsid w:val="00A91108"/>
    <w:rsid w:val="00A93B99"/>
    <w:rsid w:val="00A969F7"/>
    <w:rsid w:val="00A96EF1"/>
    <w:rsid w:val="00AA57DF"/>
    <w:rsid w:val="00AB1371"/>
    <w:rsid w:val="00AC14F6"/>
    <w:rsid w:val="00AC5E14"/>
    <w:rsid w:val="00AD033B"/>
    <w:rsid w:val="00AD41F7"/>
    <w:rsid w:val="00AD66A4"/>
    <w:rsid w:val="00AE1D10"/>
    <w:rsid w:val="00AE286A"/>
    <w:rsid w:val="00AE7B85"/>
    <w:rsid w:val="00AF02A9"/>
    <w:rsid w:val="00AF2E96"/>
    <w:rsid w:val="00B01200"/>
    <w:rsid w:val="00B03D45"/>
    <w:rsid w:val="00B0532A"/>
    <w:rsid w:val="00B113E4"/>
    <w:rsid w:val="00B31309"/>
    <w:rsid w:val="00B353AF"/>
    <w:rsid w:val="00B4018D"/>
    <w:rsid w:val="00B41B24"/>
    <w:rsid w:val="00B51756"/>
    <w:rsid w:val="00B525D7"/>
    <w:rsid w:val="00B56E68"/>
    <w:rsid w:val="00B7054F"/>
    <w:rsid w:val="00B80761"/>
    <w:rsid w:val="00B80B90"/>
    <w:rsid w:val="00B92A14"/>
    <w:rsid w:val="00B960FB"/>
    <w:rsid w:val="00BB1EFF"/>
    <w:rsid w:val="00BB6C38"/>
    <w:rsid w:val="00BE5388"/>
    <w:rsid w:val="00BF588E"/>
    <w:rsid w:val="00C00C83"/>
    <w:rsid w:val="00C018D7"/>
    <w:rsid w:val="00C11796"/>
    <w:rsid w:val="00C127D3"/>
    <w:rsid w:val="00C22DFA"/>
    <w:rsid w:val="00C241D8"/>
    <w:rsid w:val="00C26592"/>
    <w:rsid w:val="00C33460"/>
    <w:rsid w:val="00C50980"/>
    <w:rsid w:val="00C53871"/>
    <w:rsid w:val="00C614F1"/>
    <w:rsid w:val="00C7442E"/>
    <w:rsid w:val="00C7798E"/>
    <w:rsid w:val="00C84DE5"/>
    <w:rsid w:val="00C85796"/>
    <w:rsid w:val="00C93094"/>
    <w:rsid w:val="00CC218B"/>
    <w:rsid w:val="00CC7EEB"/>
    <w:rsid w:val="00CD6B38"/>
    <w:rsid w:val="00CE3701"/>
    <w:rsid w:val="00CE3B40"/>
    <w:rsid w:val="00CF225F"/>
    <w:rsid w:val="00CF55B0"/>
    <w:rsid w:val="00D07DA7"/>
    <w:rsid w:val="00D07ED1"/>
    <w:rsid w:val="00D10799"/>
    <w:rsid w:val="00D14579"/>
    <w:rsid w:val="00D16995"/>
    <w:rsid w:val="00D179BD"/>
    <w:rsid w:val="00D20B5B"/>
    <w:rsid w:val="00D2625D"/>
    <w:rsid w:val="00D345D8"/>
    <w:rsid w:val="00D35E3F"/>
    <w:rsid w:val="00D50DE2"/>
    <w:rsid w:val="00D64291"/>
    <w:rsid w:val="00D64CD6"/>
    <w:rsid w:val="00D76737"/>
    <w:rsid w:val="00D84EDE"/>
    <w:rsid w:val="00D92374"/>
    <w:rsid w:val="00D9403D"/>
    <w:rsid w:val="00DA50B9"/>
    <w:rsid w:val="00DA603C"/>
    <w:rsid w:val="00DB7713"/>
    <w:rsid w:val="00DC1E97"/>
    <w:rsid w:val="00DD0CC1"/>
    <w:rsid w:val="00DD103C"/>
    <w:rsid w:val="00DD1FC5"/>
    <w:rsid w:val="00DD2CD2"/>
    <w:rsid w:val="00DE306B"/>
    <w:rsid w:val="00DE6B16"/>
    <w:rsid w:val="00DF6A47"/>
    <w:rsid w:val="00E00760"/>
    <w:rsid w:val="00E01596"/>
    <w:rsid w:val="00E1236D"/>
    <w:rsid w:val="00E31963"/>
    <w:rsid w:val="00E324DE"/>
    <w:rsid w:val="00E33134"/>
    <w:rsid w:val="00E36EEB"/>
    <w:rsid w:val="00E60E4F"/>
    <w:rsid w:val="00E62F43"/>
    <w:rsid w:val="00E64E15"/>
    <w:rsid w:val="00E67028"/>
    <w:rsid w:val="00E77AF5"/>
    <w:rsid w:val="00E808B0"/>
    <w:rsid w:val="00E81C7C"/>
    <w:rsid w:val="00E9121B"/>
    <w:rsid w:val="00E95994"/>
    <w:rsid w:val="00EA1125"/>
    <w:rsid w:val="00EA4D90"/>
    <w:rsid w:val="00EB2089"/>
    <w:rsid w:val="00EE0FB8"/>
    <w:rsid w:val="00EF0794"/>
    <w:rsid w:val="00EF1337"/>
    <w:rsid w:val="00EF2273"/>
    <w:rsid w:val="00EF6268"/>
    <w:rsid w:val="00F05C60"/>
    <w:rsid w:val="00F07FDA"/>
    <w:rsid w:val="00F11113"/>
    <w:rsid w:val="00F262FD"/>
    <w:rsid w:val="00F4152F"/>
    <w:rsid w:val="00F43997"/>
    <w:rsid w:val="00F61752"/>
    <w:rsid w:val="00F738CA"/>
    <w:rsid w:val="00F74687"/>
    <w:rsid w:val="00F751CB"/>
    <w:rsid w:val="00FA1A5B"/>
    <w:rsid w:val="00FA2484"/>
    <w:rsid w:val="00FA301F"/>
    <w:rsid w:val="00FA3FF6"/>
    <w:rsid w:val="00FA6D68"/>
    <w:rsid w:val="00FB23CB"/>
    <w:rsid w:val="00FC6BEA"/>
    <w:rsid w:val="00FD2C85"/>
    <w:rsid w:val="00FE2437"/>
    <w:rsid w:val="00FE4972"/>
    <w:rsid w:val="00FE5BC1"/>
    <w:rsid w:val="00FE6B31"/>
    <w:rsid w:val="00FE6D16"/>
    <w:rsid w:val="00FF3AB2"/>
    <w:rsid w:val="00FF5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8E965"/>
  <w15:chartTrackingRefBased/>
  <w15:docId w15:val="{99E65827-DCF9-4013-AB1D-A33FEEEF2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BB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3BB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83BB2"/>
    <w:rPr>
      <w:sz w:val="18"/>
      <w:szCs w:val="18"/>
    </w:rPr>
  </w:style>
  <w:style w:type="paragraph" w:styleId="a5">
    <w:name w:val="footer"/>
    <w:basedOn w:val="a"/>
    <w:link w:val="a6"/>
    <w:uiPriority w:val="99"/>
    <w:unhideWhenUsed/>
    <w:rsid w:val="00683BB2"/>
    <w:pPr>
      <w:tabs>
        <w:tab w:val="center" w:pos="4153"/>
        <w:tab w:val="right" w:pos="8306"/>
      </w:tabs>
      <w:snapToGrid w:val="0"/>
      <w:jc w:val="left"/>
    </w:pPr>
    <w:rPr>
      <w:sz w:val="18"/>
      <w:szCs w:val="18"/>
    </w:rPr>
  </w:style>
  <w:style w:type="character" w:customStyle="1" w:styleId="a6">
    <w:name w:val="页脚 字符"/>
    <w:basedOn w:val="a0"/>
    <w:link w:val="a5"/>
    <w:uiPriority w:val="99"/>
    <w:rsid w:val="00683BB2"/>
    <w:rPr>
      <w:sz w:val="18"/>
      <w:szCs w:val="18"/>
    </w:rPr>
  </w:style>
  <w:style w:type="paragraph" w:customStyle="1" w:styleId="Default">
    <w:name w:val="Default"/>
    <w:qFormat/>
    <w:rsid w:val="00683BB2"/>
    <w:pPr>
      <w:widowControl w:val="0"/>
      <w:autoSpaceDE w:val="0"/>
      <w:autoSpaceDN w:val="0"/>
      <w:adjustRightInd w:val="0"/>
    </w:pPr>
    <w:rPr>
      <w:rFonts w:ascii="宋体" w:eastAsia="宋体" w:hAnsi="Calibri" w:cs="宋体"/>
      <w:color w:val="000000"/>
      <w:kern w:val="0"/>
      <w:sz w:val="24"/>
      <w:szCs w:val="24"/>
    </w:rPr>
  </w:style>
  <w:style w:type="paragraph" w:styleId="a7">
    <w:name w:val="List Paragraph"/>
    <w:basedOn w:val="a"/>
    <w:uiPriority w:val="34"/>
    <w:qFormat/>
    <w:rsid w:val="00DF6A47"/>
    <w:pPr>
      <w:ind w:firstLineChars="200" w:firstLine="420"/>
    </w:pPr>
  </w:style>
  <w:style w:type="table" w:styleId="a8">
    <w:name w:val="Table Grid"/>
    <w:basedOn w:val="a1"/>
    <w:uiPriority w:val="39"/>
    <w:rsid w:val="00A73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9121B"/>
    <w:rPr>
      <w:sz w:val="18"/>
      <w:szCs w:val="18"/>
    </w:rPr>
  </w:style>
  <w:style w:type="character" w:customStyle="1" w:styleId="aa">
    <w:name w:val="批注框文本 字符"/>
    <w:basedOn w:val="a0"/>
    <w:link w:val="a9"/>
    <w:uiPriority w:val="99"/>
    <w:semiHidden/>
    <w:rsid w:val="00E9121B"/>
    <w:rPr>
      <w:rFonts w:ascii="Times New Roman" w:eastAsia="宋体" w:hAnsi="Times New Roman" w:cs="Times New Roman"/>
      <w:sz w:val="18"/>
      <w:szCs w:val="18"/>
    </w:rPr>
  </w:style>
  <w:style w:type="character" w:styleId="ab">
    <w:name w:val="annotation reference"/>
    <w:basedOn w:val="a0"/>
    <w:uiPriority w:val="99"/>
    <w:semiHidden/>
    <w:unhideWhenUsed/>
    <w:rsid w:val="00910227"/>
    <w:rPr>
      <w:sz w:val="21"/>
      <w:szCs w:val="21"/>
    </w:rPr>
  </w:style>
  <w:style w:type="paragraph" w:styleId="ac">
    <w:name w:val="annotation text"/>
    <w:basedOn w:val="a"/>
    <w:link w:val="ad"/>
    <w:uiPriority w:val="99"/>
    <w:unhideWhenUsed/>
    <w:rsid w:val="00910227"/>
    <w:pPr>
      <w:jc w:val="left"/>
    </w:pPr>
  </w:style>
  <w:style w:type="character" w:customStyle="1" w:styleId="ad">
    <w:name w:val="批注文字 字符"/>
    <w:basedOn w:val="a0"/>
    <w:link w:val="ac"/>
    <w:uiPriority w:val="99"/>
    <w:rsid w:val="00910227"/>
    <w:rPr>
      <w:rFonts w:ascii="Times New Roman" w:eastAsia="宋体" w:hAnsi="Times New Roman" w:cs="Times New Roman"/>
      <w:szCs w:val="24"/>
    </w:rPr>
  </w:style>
  <w:style w:type="paragraph" w:styleId="ae">
    <w:name w:val="annotation subject"/>
    <w:basedOn w:val="ac"/>
    <w:next w:val="ac"/>
    <w:link w:val="af"/>
    <w:uiPriority w:val="99"/>
    <w:semiHidden/>
    <w:unhideWhenUsed/>
    <w:rsid w:val="00910227"/>
    <w:rPr>
      <w:b/>
      <w:bCs/>
    </w:rPr>
  </w:style>
  <w:style w:type="character" w:customStyle="1" w:styleId="af">
    <w:name w:val="批注主题 字符"/>
    <w:basedOn w:val="ad"/>
    <w:link w:val="ae"/>
    <w:uiPriority w:val="99"/>
    <w:semiHidden/>
    <w:rsid w:val="00910227"/>
    <w:rPr>
      <w:rFonts w:ascii="Times New Roman" w:eastAsia="宋体" w:hAnsi="Times New Roman" w:cs="Times New Roman"/>
      <w:b/>
      <w:bCs/>
      <w:szCs w:val="24"/>
    </w:rPr>
  </w:style>
  <w:style w:type="character" w:customStyle="1" w:styleId="fontstyle01">
    <w:name w:val="fontstyle01"/>
    <w:basedOn w:val="a0"/>
    <w:rsid w:val="00857BFB"/>
    <w:rPr>
      <w:rFonts w:ascii="宋体" w:eastAsia="宋体" w:hAnsi="宋体" w:hint="eastAsia"/>
      <w:b w:val="0"/>
      <w:bCs w:val="0"/>
      <w:i w:val="0"/>
      <w:iCs w:val="0"/>
      <w:color w:val="000000"/>
      <w:sz w:val="24"/>
      <w:szCs w:val="24"/>
    </w:rPr>
  </w:style>
  <w:style w:type="paragraph" w:styleId="af0">
    <w:name w:val="Revision"/>
    <w:hidden/>
    <w:uiPriority w:val="99"/>
    <w:semiHidden/>
    <w:rsid w:val="00857BFB"/>
    <w:rPr>
      <w:rFonts w:ascii="Times New Roman" w:eastAsia="宋体" w:hAnsi="Times New Roman" w:cs="Times New Roman"/>
      <w:szCs w:val="24"/>
    </w:rPr>
  </w:style>
  <w:style w:type="character" w:styleId="af1">
    <w:name w:val="Hyperlink"/>
    <w:basedOn w:val="a0"/>
    <w:uiPriority w:val="99"/>
    <w:unhideWhenUsed/>
    <w:rsid w:val="005D6E9E"/>
    <w:rPr>
      <w:color w:val="0563C1" w:themeColor="hyperlink"/>
      <w:u w:val="single"/>
    </w:rPr>
  </w:style>
  <w:style w:type="character" w:customStyle="1" w:styleId="1">
    <w:name w:val="未处理的提及1"/>
    <w:basedOn w:val="a0"/>
    <w:uiPriority w:val="99"/>
    <w:semiHidden/>
    <w:unhideWhenUsed/>
    <w:rsid w:val="005D6E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67555">
      <w:bodyDiv w:val="1"/>
      <w:marLeft w:val="0"/>
      <w:marRight w:val="0"/>
      <w:marTop w:val="0"/>
      <w:marBottom w:val="0"/>
      <w:divBdr>
        <w:top w:val="none" w:sz="0" w:space="0" w:color="auto"/>
        <w:left w:val="none" w:sz="0" w:space="0" w:color="auto"/>
        <w:bottom w:val="none" w:sz="0" w:space="0" w:color="auto"/>
        <w:right w:val="none" w:sz="0" w:space="0" w:color="auto"/>
      </w:divBdr>
      <w:divsChild>
        <w:div w:id="158471817">
          <w:marLeft w:val="0"/>
          <w:marRight w:val="0"/>
          <w:marTop w:val="75"/>
          <w:marBottom w:val="75"/>
          <w:divBdr>
            <w:top w:val="none" w:sz="0" w:space="0" w:color="auto"/>
            <w:left w:val="none" w:sz="0" w:space="0" w:color="auto"/>
            <w:bottom w:val="single" w:sz="12" w:space="0" w:color="8D8D8D"/>
            <w:right w:val="none" w:sz="0" w:space="0" w:color="auto"/>
          </w:divBdr>
          <w:divsChild>
            <w:div w:id="1953442182">
              <w:marLeft w:val="0"/>
              <w:marRight w:val="0"/>
              <w:marTop w:val="0"/>
              <w:marBottom w:val="0"/>
              <w:divBdr>
                <w:top w:val="none" w:sz="0" w:space="0" w:color="auto"/>
                <w:left w:val="none" w:sz="0" w:space="0" w:color="auto"/>
                <w:bottom w:val="none" w:sz="0" w:space="0" w:color="auto"/>
                <w:right w:val="none" w:sz="0" w:space="0" w:color="auto"/>
              </w:divBdr>
            </w:div>
          </w:divsChild>
        </w:div>
        <w:div w:id="853956070">
          <w:marLeft w:val="0"/>
          <w:marRight w:val="0"/>
          <w:marTop w:val="75"/>
          <w:marBottom w:val="75"/>
          <w:divBdr>
            <w:top w:val="none" w:sz="0" w:space="0" w:color="auto"/>
            <w:left w:val="none" w:sz="0" w:space="0" w:color="auto"/>
            <w:bottom w:val="single" w:sz="12" w:space="0" w:color="8D8D8D"/>
            <w:right w:val="none" w:sz="0" w:space="0" w:color="auto"/>
          </w:divBdr>
          <w:divsChild>
            <w:div w:id="175697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30155">
      <w:bodyDiv w:val="1"/>
      <w:marLeft w:val="0"/>
      <w:marRight w:val="0"/>
      <w:marTop w:val="0"/>
      <w:marBottom w:val="0"/>
      <w:divBdr>
        <w:top w:val="none" w:sz="0" w:space="0" w:color="auto"/>
        <w:left w:val="none" w:sz="0" w:space="0" w:color="auto"/>
        <w:bottom w:val="none" w:sz="0" w:space="0" w:color="auto"/>
        <w:right w:val="none" w:sz="0" w:space="0" w:color="auto"/>
      </w:divBdr>
    </w:div>
    <w:div w:id="953637597">
      <w:bodyDiv w:val="1"/>
      <w:marLeft w:val="0"/>
      <w:marRight w:val="0"/>
      <w:marTop w:val="0"/>
      <w:marBottom w:val="0"/>
      <w:divBdr>
        <w:top w:val="none" w:sz="0" w:space="0" w:color="auto"/>
        <w:left w:val="none" w:sz="0" w:space="0" w:color="auto"/>
        <w:bottom w:val="none" w:sz="0" w:space="0" w:color="auto"/>
        <w:right w:val="none" w:sz="0" w:space="0" w:color="auto"/>
      </w:divBdr>
    </w:div>
    <w:div w:id="1066684959">
      <w:bodyDiv w:val="1"/>
      <w:marLeft w:val="0"/>
      <w:marRight w:val="0"/>
      <w:marTop w:val="0"/>
      <w:marBottom w:val="0"/>
      <w:divBdr>
        <w:top w:val="none" w:sz="0" w:space="0" w:color="auto"/>
        <w:left w:val="none" w:sz="0" w:space="0" w:color="auto"/>
        <w:bottom w:val="none" w:sz="0" w:space="0" w:color="auto"/>
        <w:right w:val="none" w:sz="0" w:space="0" w:color="auto"/>
      </w:divBdr>
    </w:div>
    <w:div w:id="1377394562">
      <w:bodyDiv w:val="1"/>
      <w:marLeft w:val="0"/>
      <w:marRight w:val="0"/>
      <w:marTop w:val="0"/>
      <w:marBottom w:val="0"/>
      <w:divBdr>
        <w:top w:val="none" w:sz="0" w:space="0" w:color="auto"/>
        <w:left w:val="none" w:sz="0" w:space="0" w:color="auto"/>
        <w:bottom w:val="none" w:sz="0" w:space="0" w:color="auto"/>
        <w:right w:val="none" w:sz="0" w:space="0" w:color="auto"/>
      </w:divBdr>
      <w:divsChild>
        <w:div w:id="163521177">
          <w:marLeft w:val="0"/>
          <w:marRight w:val="0"/>
          <w:marTop w:val="75"/>
          <w:marBottom w:val="75"/>
          <w:divBdr>
            <w:top w:val="none" w:sz="0" w:space="0" w:color="auto"/>
            <w:left w:val="none" w:sz="0" w:space="0" w:color="auto"/>
            <w:bottom w:val="none" w:sz="0" w:space="0" w:color="auto"/>
            <w:right w:val="none" w:sz="0" w:space="0" w:color="auto"/>
          </w:divBdr>
          <w:divsChild>
            <w:div w:id="1143884065">
              <w:marLeft w:val="0"/>
              <w:marRight w:val="0"/>
              <w:marTop w:val="0"/>
              <w:marBottom w:val="0"/>
              <w:divBdr>
                <w:top w:val="none" w:sz="0" w:space="0" w:color="auto"/>
                <w:left w:val="none" w:sz="0" w:space="0" w:color="auto"/>
                <w:bottom w:val="none" w:sz="0" w:space="0" w:color="auto"/>
                <w:right w:val="none" w:sz="0" w:space="0" w:color="auto"/>
              </w:divBdr>
            </w:div>
          </w:divsChild>
        </w:div>
        <w:div w:id="992874445">
          <w:marLeft w:val="0"/>
          <w:marRight w:val="0"/>
          <w:marTop w:val="75"/>
          <w:marBottom w:val="75"/>
          <w:divBdr>
            <w:top w:val="none" w:sz="0" w:space="0" w:color="auto"/>
            <w:left w:val="none" w:sz="0" w:space="0" w:color="auto"/>
            <w:bottom w:val="single" w:sz="12" w:space="0" w:color="8D8D8D"/>
            <w:right w:val="none" w:sz="0" w:space="0" w:color="auto"/>
          </w:divBdr>
          <w:divsChild>
            <w:div w:id="1298607889">
              <w:marLeft w:val="0"/>
              <w:marRight w:val="0"/>
              <w:marTop w:val="0"/>
              <w:marBottom w:val="0"/>
              <w:divBdr>
                <w:top w:val="none" w:sz="0" w:space="0" w:color="auto"/>
                <w:left w:val="none" w:sz="0" w:space="0" w:color="auto"/>
                <w:bottom w:val="none" w:sz="0" w:space="0" w:color="auto"/>
                <w:right w:val="none" w:sz="0" w:space="0" w:color="auto"/>
              </w:divBdr>
            </w:div>
          </w:divsChild>
        </w:div>
        <w:div w:id="1178930038">
          <w:marLeft w:val="0"/>
          <w:marRight w:val="0"/>
          <w:marTop w:val="75"/>
          <w:marBottom w:val="75"/>
          <w:divBdr>
            <w:top w:val="none" w:sz="0" w:space="0" w:color="auto"/>
            <w:left w:val="none" w:sz="0" w:space="0" w:color="auto"/>
            <w:bottom w:val="single" w:sz="12" w:space="0" w:color="8D8D8D"/>
            <w:right w:val="none" w:sz="0" w:space="0" w:color="auto"/>
          </w:divBdr>
          <w:divsChild>
            <w:div w:id="689985741">
              <w:marLeft w:val="0"/>
              <w:marRight w:val="0"/>
              <w:marTop w:val="0"/>
              <w:marBottom w:val="0"/>
              <w:divBdr>
                <w:top w:val="none" w:sz="0" w:space="0" w:color="auto"/>
                <w:left w:val="none" w:sz="0" w:space="0" w:color="auto"/>
                <w:bottom w:val="none" w:sz="0" w:space="0" w:color="auto"/>
                <w:right w:val="none" w:sz="0" w:space="0" w:color="auto"/>
              </w:divBdr>
            </w:div>
          </w:divsChild>
        </w:div>
        <w:div w:id="1859462959">
          <w:marLeft w:val="0"/>
          <w:marRight w:val="0"/>
          <w:marTop w:val="75"/>
          <w:marBottom w:val="75"/>
          <w:divBdr>
            <w:top w:val="none" w:sz="0" w:space="0" w:color="auto"/>
            <w:left w:val="none" w:sz="0" w:space="0" w:color="auto"/>
            <w:bottom w:val="single" w:sz="12" w:space="0" w:color="8D8D8D"/>
            <w:right w:val="none" w:sz="0" w:space="0" w:color="auto"/>
          </w:divBdr>
          <w:divsChild>
            <w:div w:id="120895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99218">
      <w:bodyDiv w:val="1"/>
      <w:marLeft w:val="0"/>
      <w:marRight w:val="0"/>
      <w:marTop w:val="0"/>
      <w:marBottom w:val="0"/>
      <w:divBdr>
        <w:top w:val="none" w:sz="0" w:space="0" w:color="auto"/>
        <w:left w:val="none" w:sz="0" w:space="0" w:color="auto"/>
        <w:bottom w:val="none" w:sz="0" w:space="0" w:color="auto"/>
        <w:right w:val="none" w:sz="0" w:space="0" w:color="auto"/>
      </w:divBdr>
      <w:divsChild>
        <w:div w:id="1613321512">
          <w:marLeft w:val="0"/>
          <w:marRight w:val="0"/>
          <w:marTop w:val="75"/>
          <w:marBottom w:val="75"/>
          <w:divBdr>
            <w:top w:val="none" w:sz="0" w:space="0" w:color="auto"/>
            <w:left w:val="none" w:sz="0" w:space="0" w:color="auto"/>
            <w:bottom w:val="single" w:sz="12" w:space="0" w:color="8D8D8D"/>
            <w:right w:val="none" w:sz="0" w:space="0" w:color="auto"/>
          </w:divBdr>
          <w:divsChild>
            <w:div w:id="538972260">
              <w:marLeft w:val="0"/>
              <w:marRight w:val="0"/>
              <w:marTop w:val="0"/>
              <w:marBottom w:val="0"/>
              <w:divBdr>
                <w:top w:val="none" w:sz="0" w:space="0" w:color="auto"/>
                <w:left w:val="none" w:sz="0" w:space="0" w:color="auto"/>
                <w:bottom w:val="none" w:sz="0" w:space="0" w:color="auto"/>
                <w:right w:val="none" w:sz="0" w:space="0" w:color="auto"/>
              </w:divBdr>
            </w:div>
          </w:divsChild>
        </w:div>
        <w:div w:id="1701776951">
          <w:marLeft w:val="0"/>
          <w:marRight w:val="0"/>
          <w:marTop w:val="75"/>
          <w:marBottom w:val="75"/>
          <w:divBdr>
            <w:top w:val="none" w:sz="0" w:space="0" w:color="auto"/>
            <w:left w:val="none" w:sz="0" w:space="0" w:color="auto"/>
            <w:bottom w:val="single" w:sz="12" w:space="0" w:color="8D8D8D"/>
            <w:right w:val="none" w:sz="0" w:space="0" w:color="auto"/>
          </w:divBdr>
          <w:divsChild>
            <w:div w:id="22002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42042">
      <w:bodyDiv w:val="1"/>
      <w:marLeft w:val="0"/>
      <w:marRight w:val="0"/>
      <w:marTop w:val="0"/>
      <w:marBottom w:val="0"/>
      <w:divBdr>
        <w:top w:val="none" w:sz="0" w:space="0" w:color="auto"/>
        <w:left w:val="none" w:sz="0" w:space="0" w:color="auto"/>
        <w:bottom w:val="none" w:sz="0" w:space="0" w:color="auto"/>
        <w:right w:val="none" w:sz="0" w:space="0" w:color="auto"/>
      </w:divBdr>
    </w:div>
    <w:div w:id="1656909477">
      <w:bodyDiv w:val="1"/>
      <w:marLeft w:val="0"/>
      <w:marRight w:val="0"/>
      <w:marTop w:val="0"/>
      <w:marBottom w:val="0"/>
      <w:divBdr>
        <w:top w:val="none" w:sz="0" w:space="0" w:color="auto"/>
        <w:left w:val="none" w:sz="0" w:space="0" w:color="auto"/>
        <w:bottom w:val="none" w:sz="0" w:space="0" w:color="auto"/>
        <w:right w:val="none" w:sz="0" w:space="0" w:color="auto"/>
      </w:divBdr>
      <w:divsChild>
        <w:div w:id="1280575181">
          <w:marLeft w:val="0"/>
          <w:marRight w:val="0"/>
          <w:marTop w:val="75"/>
          <w:marBottom w:val="75"/>
          <w:divBdr>
            <w:top w:val="none" w:sz="0" w:space="0" w:color="auto"/>
            <w:left w:val="none" w:sz="0" w:space="0" w:color="auto"/>
            <w:bottom w:val="none" w:sz="0" w:space="0" w:color="auto"/>
            <w:right w:val="none" w:sz="0" w:space="0" w:color="auto"/>
          </w:divBdr>
          <w:divsChild>
            <w:div w:id="1182662735">
              <w:marLeft w:val="0"/>
              <w:marRight w:val="0"/>
              <w:marTop w:val="0"/>
              <w:marBottom w:val="0"/>
              <w:divBdr>
                <w:top w:val="none" w:sz="0" w:space="0" w:color="auto"/>
                <w:left w:val="none" w:sz="0" w:space="0" w:color="auto"/>
                <w:bottom w:val="none" w:sz="0" w:space="0" w:color="auto"/>
                <w:right w:val="none" w:sz="0" w:space="0" w:color="auto"/>
              </w:divBdr>
            </w:div>
          </w:divsChild>
        </w:div>
        <w:div w:id="1618608527">
          <w:marLeft w:val="0"/>
          <w:marRight w:val="0"/>
          <w:marTop w:val="75"/>
          <w:marBottom w:val="75"/>
          <w:divBdr>
            <w:top w:val="none" w:sz="0" w:space="0" w:color="auto"/>
            <w:left w:val="none" w:sz="0" w:space="0" w:color="auto"/>
            <w:bottom w:val="single" w:sz="12" w:space="0" w:color="8D8D8D"/>
            <w:right w:val="none" w:sz="0" w:space="0" w:color="auto"/>
          </w:divBdr>
          <w:divsChild>
            <w:div w:id="1343632510">
              <w:marLeft w:val="0"/>
              <w:marRight w:val="0"/>
              <w:marTop w:val="0"/>
              <w:marBottom w:val="0"/>
              <w:divBdr>
                <w:top w:val="none" w:sz="0" w:space="0" w:color="auto"/>
                <w:left w:val="none" w:sz="0" w:space="0" w:color="auto"/>
                <w:bottom w:val="none" w:sz="0" w:space="0" w:color="auto"/>
                <w:right w:val="none" w:sz="0" w:space="0" w:color="auto"/>
              </w:divBdr>
            </w:div>
          </w:divsChild>
        </w:div>
        <w:div w:id="2024090389">
          <w:marLeft w:val="0"/>
          <w:marRight w:val="0"/>
          <w:marTop w:val="75"/>
          <w:marBottom w:val="75"/>
          <w:divBdr>
            <w:top w:val="none" w:sz="0" w:space="0" w:color="auto"/>
            <w:left w:val="none" w:sz="0" w:space="0" w:color="auto"/>
            <w:bottom w:val="single" w:sz="12" w:space="0" w:color="8D8D8D"/>
            <w:right w:val="none" w:sz="0" w:space="0" w:color="auto"/>
          </w:divBdr>
          <w:divsChild>
            <w:div w:id="651254577">
              <w:marLeft w:val="0"/>
              <w:marRight w:val="0"/>
              <w:marTop w:val="0"/>
              <w:marBottom w:val="0"/>
              <w:divBdr>
                <w:top w:val="none" w:sz="0" w:space="0" w:color="auto"/>
                <w:left w:val="none" w:sz="0" w:space="0" w:color="auto"/>
                <w:bottom w:val="none" w:sz="0" w:space="0" w:color="auto"/>
                <w:right w:val="none" w:sz="0" w:space="0" w:color="auto"/>
              </w:divBdr>
            </w:div>
          </w:divsChild>
        </w:div>
        <w:div w:id="2139177127">
          <w:marLeft w:val="0"/>
          <w:marRight w:val="0"/>
          <w:marTop w:val="75"/>
          <w:marBottom w:val="75"/>
          <w:divBdr>
            <w:top w:val="none" w:sz="0" w:space="0" w:color="auto"/>
            <w:left w:val="none" w:sz="0" w:space="0" w:color="auto"/>
            <w:bottom w:val="single" w:sz="12" w:space="0" w:color="8D8D8D"/>
            <w:right w:val="none" w:sz="0" w:space="0" w:color="auto"/>
          </w:divBdr>
          <w:divsChild>
            <w:div w:id="159894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23360">
      <w:bodyDiv w:val="1"/>
      <w:marLeft w:val="0"/>
      <w:marRight w:val="0"/>
      <w:marTop w:val="0"/>
      <w:marBottom w:val="0"/>
      <w:divBdr>
        <w:top w:val="none" w:sz="0" w:space="0" w:color="auto"/>
        <w:left w:val="none" w:sz="0" w:space="0" w:color="auto"/>
        <w:bottom w:val="none" w:sz="0" w:space="0" w:color="auto"/>
        <w:right w:val="none" w:sz="0" w:space="0" w:color="auto"/>
      </w:divBdr>
    </w:div>
    <w:div w:id="184053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41DEA-CED8-431F-B649-CF2E3750B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14</Pages>
  <Words>1719</Words>
  <Characters>9801</Characters>
  <Application>Microsoft Office Word</Application>
  <DocSecurity>0</DocSecurity>
  <Lines>81</Lines>
  <Paragraphs>22</Paragraphs>
  <ScaleCrop>false</ScaleCrop>
  <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张月</dc:creator>
  <cp:keywords/>
  <dc:description/>
  <cp:lastModifiedBy>Qiu JuanMei</cp:lastModifiedBy>
  <cp:revision>134</cp:revision>
  <dcterms:created xsi:type="dcterms:W3CDTF">2022-10-17T03:45:00Z</dcterms:created>
  <dcterms:modified xsi:type="dcterms:W3CDTF">2022-10-21T10:24:00Z</dcterms:modified>
</cp:coreProperties>
</file>